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FBB4DD">
      <w:pPr>
        <w:jc w:val="center"/>
        <w:rPr>
          <w:rFonts w:ascii="仿宋" w:hAnsi="仿宋" w:eastAsia="仿宋" w:cs="仿宋"/>
          <w:b/>
          <w:sz w:val="32"/>
          <w:szCs w:val="32"/>
        </w:rPr>
      </w:pPr>
      <w:r>
        <w:rPr>
          <w:rFonts w:hint="eastAsia" w:ascii="仿宋" w:hAnsi="仿宋" w:eastAsia="仿宋" w:cs="仿宋"/>
          <w:b/>
          <w:sz w:val="36"/>
          <w:szCs w:val="32"/>
        </w:rPr>
        <w:t>杭州师范大学数学学院省政府奖学金评选细则</w:t>
      </w:r>
    </w:p>
    <w:p w14:paraId="59EAB33D">
      <w:pPr>
        <w:ind w:firstLine="640" w:firstLineChars="200"/>
        <w:rPr>
          <w:rFonts w:ascii="仿宋" w:hAnsi="仿宋" w:eastAsia="仿宋" w:cs="仿宋"/>
          <w:sz w:val="32"/>
          <w:szCs w:val="32"/>
        </w:rPr>
      </w:pPr>
    </w:p>
    <w:p w14:paraId="4556F404">
      <w:pPr>
        <w:ind w:firstLine="640" w:firstLineChars="200"/>
        <w:rPr>
          <w:rFonts w:ascii="仿宋" w:hAnsi="仿宋" w:eastAsia="仿宋" w:cs="仿宋"/>
          <w:sz w:val="32"/>
          <w:szCs w:val="32"/>
        </w:rPr>
      </w:pPr>
      <w:r>
        <w:rPr>
          <w:rFonts w:hint="eastAsia" w:ascii="仿宋" w:hAnsi="仿宋" w:eastAsia="仿宋" w:cs="仿宋"/>
          <w:sz w:val="32"/>
          <w:szCs w:val="32"/>
        </w:rPr>
        <w:t>根据《杭州师范大学本科学生资助工作管理办法》（杭师大学〔2022〕60号）中《杭州师范大学省政府奖学金实施细则》，结合数学学院实际情况，制订本细则。</w:t>
      </w:r>
    </w:p>
    <w:p w14:paraId="489AF8E5">
      <w:pPr>
        <w:ind w:firstLine="643" w:firstLineChars="200"/>
        <w:rPr>
          <w:rFonts w:ascii="仿宋" w:hAnsi="仿宋" w:eastAsia="仿宋" w:cs="仿宋"/>
          <w:b/>
          <w:sz w:val="32"/>
          <w:szCs w:val="32"/>
        </w:rPr>
      </w:pPr>
      <w:r>
        <w:rPr>
          <w:rFonts w:hint="eastAsia" w:ascii="仿宋" w:hAnsi="仿宋" w:eastAsia="仿宋" w:cs="仿宋"/>
          <w:b/>
          <w:sz w:val="32"/>
          <w:szCs w:val="32"/>
        </w:rPr>
        <w:t>一、评选对象</w:t>
      </w:r>
    </w:p>
    <w:p w14:paraId="7FCD3B8E">
      <w:pPr>
        <w:ind w:firstLine="640" w:firstLineChars="200"/>
        <w:rPr>
          <w:rFonts w:ascii="仿宋" w:hAnsi="仿宋" w:eastAsia="仿宋" w:cs="仿宋"/>
          <w:sz w:val="32"/>
          <w:szCs w:val="32"/>
        </w:rPr>
      </w:pPr>
      <w:r>
        <w:rPr>
          <w:rFonts w:hint="eastAsia" w:ascii="仿宋" w:hAnsi="仿宋" w:eastAsia="仿宋" w:cs="仿宋"/>
          <w:sz w:val="32"/>
          <w:szCs w:val="32"/>
        </w:rPr>
        <w:t>纳入全国招生计划内的在籍且在校二年级以上品学兼优的全日制本科学生。</w:t>
      </w:r>
    </w:p>
    <w:p w14:paraId="63C8803A">
      <w:pPr>
        <w:ind w:firstLine="640" w:firstLineChars="200"/>
        <w:rPr>
          <w:rFonts w:ascii="仿宋" w:hAnsi="仿宋" w:eastAsia="仿宋" w:cs="仿宋"/>
          <w:sz w:val="32"/>
          <w:szCs w:val="32"/>
        </w:rPr>
      </w:pPr>
    </w:p>
    <w:p w14:paraId="3F216BC6">
      <w:pPr>
        <w:ind w:firstLine="643" w:firstLineChars="200"/>
        <w:rPr>
          <w:rFonts w:ascii="仿宋" w:hAnsi="仿宋" w:eastAsia="仿宋" w:cs="仿宋"/>
          <w:b/>
          <w:sz w:val="32"/>
          <w:szCs w:val="32"/>
        </w:rPr>
      </w:pPr>
      <w:r>
        <w:rPr>
          <w:rFonts w:hint="eastAsia" w:ascii="仿宋" w:hAnsi="仿宋" w:eastAsia="仿宋" w:cs="仿宋"/>
          <w:b/>
          <w:sz w:val="32"/>
          <w:szCs w:val="32"/>
        </w:rPr>
        <w:t>二、申请条件</w:t>
      </w:r>
    </w:p>
    <w:p w14:paraId="422E7967">
      <w:pPr>
        <w:widowControl/>
        <w:ind w:firstLine="640" w:firstLineChars="200"/>
        <w:jc w:val="left"/>
        <w:rPr>
          <w:rFonts w:ascii="宋体" w:hAnsi="宋体" w:eastAsia="宋体" w:cs="宋体"/>
          <w:kern w:val="0"/>
          <w:sz w:val="24"/>
          <w:szCs w:val="24"/>
        </w:rPr>
      </w:pPr>
      <w:r>
        <w:rPr>
          <w:rFonts w:hint="eastAsia" w:ascii="仿宋" w:hAnsi="仿宋" w:eastAsia="仿宋" w:cs="宋体"/>
          <w:color w:val="000000"/>
          <w:kern w:val="0"/>
          <w:sz w:val="32"/>
          <w:szCs w:val="32"/>
        </w:rPr>
        <w:t xml:space="preserve">1.具有中华人民共和国国籍； </w:t>
      </w:r>
    </w:p>
    <w:p w14:paraId="7CCE0BD5">
      <w:pPr>
        <w:widowControl/>
        <w:ind w:firstLine="640" w:firstLineChars="200"/>
        <w:jc w:val="left"/>
        <w:rPr>
          <w:rFonts w:ascii="宋体" w:hAnsi="宋体" w:eastAsia="宋体" w:cs="宋体"/>
          <w:kern w:val="0"/>
          <w:sz w:val="24"/>
          <w:szCs w:val="24"/>
        </w:rPr>
      </w:pPr>
      <w:r>
        <w:rPr>
          <w:rFonts w:hint="eastAsia" w:ascii="仿宋" w:hAnsi="仿宋" w:eastAsia="仿宋" w:cs="宋体"/>
          <w:color w:val="000000"/>
          <w:kern w:val="0"/>
          <w:sz w:val="32"/>
          <w:szCs w:val="32"/>
        </w:rPr>
        <w:t xml:space="preserve">2.热爱祖国，拥护中国共产党的领导； </w:t>
      </w:r>
    </w:p>
    <w:p w14:paraId="1B1F8B52">
      <w:pPr>
        <w:widowControl/>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3.遵守宪法和法律，遵守学校规章制度；</w:t>
      </w:r>
    </w:p>
    <w:p w14:paraId="79206AD7">
      <w:pPr>
        <w:widowControl/>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4.诚实守信，道德品质优良；</w:t>
      </w:r>
    </w:p>
    <w:p w14:paraId="28E87661">
      <w:pPr>
        <w:widowControl/>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5.积极参加体育锻炼，身体素质良好；</w:t>
      </w:r>
    </w:p>
    <w:p w14:paraId="756913FD">
      <w:pPr>
        <w:widowControl/>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6.在校期间学习成绩优秀，在创新能力、社会实践、综合素质等方面表现突出。参评学年必修课和选修课无补考课程，符合学校优秀学生二等奖学金评选条件；未达到学校优秀二等奖学金评选条件，但符合学校优秀学生三等奖学金评选条件的学生，如在其他某个方面表现突出，也可以申请省政府奖学金， 但需提交相关证明材料。其他方面表现突出具体是指：</w:t>
      </w:r>
    </w:p>
    <w:p w14:paraId="774CD841">
      <w:pPr>
        <w:widowControl/>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（1）在学术研究上取得优异成绩，以杭州师范大学为第一单位、本人为第一作者（或责任作者）在三类及以上期刊发表 论文，或以第一、二作者出版通过专家鉴定的学术专著；</w:t>
      </w:r>
    </w:p>
    <w:p w14:paraId="74CDDE2C">
      <w:pPr>
        <w:widowControl/>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2）在学科竞赛方面取得优异成绩，在学校认定的一类学科竞赛中获全国二等奖（或银奖）及以上或省一等奖（设特等奖的为特等奖），或在“互联网+”、挑战杯、职规赛中获省二等奖（或银奖）及以上的奖励。团队项目应为核心成员（排名前三）；</w:t>
      </w:r>
    </w:p>
    <w:p w14:paraId="5C94FE67">
      <w:pPr>
        <w:widowControl/>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（3）在创新发明方面取得优异成绩，科研成果获省部级及以上奖励或获得通过专家鉴定的国家发明专利（不包括实用新型专利、外观设计专利）。团队项目应为核心成员（排名前三）；</w:t>
      </w:r>
    </w:p>
    <w:p w14:paraId="5685A415">
      <w:pPr>
        <w:widowControl/>
        <w:ind w:firstLine="640" w:firstLineChars="200"/>
        <w:jc w:val="left"/>
        <w:rPr>
          <w:rFonts w:ascii="宋体" w:hAnsi="宋体" w:eastAsia="宋体" w:cs="宋体"/>
          <w:kern w:val="0"/>
          <w:sz w:val="24"/>
          <w:szCs w:val="24"/>
        </w:rPr>
      </w:pPr>
      <w:r>
        <w:rPr>
          <w:rFonts w:hint="eastAsia" w:ascii="仿宋" w:hAnsi="仿宋" w:eastAsia="仿宋" w:cs="宋体"/>
          <w:color w:val="000000"/>
          <w:kern w:val="0"/>
          <w:sz w:val="32"/>
          <w:szCs w:val="32"/>
        </w:rPr>
        <w:t>（4）在体育竞赛中取得优异成绩，在教育、体育主管部门组织的体育比赛中，获得全省个人项目前三名、集体项目前二名，或经省级选拔参加全国比赛并获奖。集体项目应为上场主力队员；</w:t>
      </w:r>
    </w:p>
    <w:p w14:paraId="1E59B257">
      <w:pPr>
        <w:widowControl/>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5）在艺术比赛、展演中取得优异成绩，在教育、文化主管部门组织的艺术类比赛或展演中，获全国前三名（或三等奖及以上）、全省前二名（或次高等次奖项），或经省级选拔参加重要综合性文艺节目录制。集体项目应为主要演员；</w:t>
      </w:r>
    </w:p>
    <w:p w14:paraId="29AF7B00">
      <w:pPr>
        <w:widowControl/>
        <w:ind w:firstLine="640" w:firstLineChars="200"/>
        <w:jc w:val="left"/>
        <w:rPr>
          <w:rFonts w:ascii="宋体" w:hAnsi="宋体" w:eastAsia="宋体" w:cs="宋体"/>
          <w:kern w:val="0"/>
          <w:sz w:val="24"/>
          <w:szCs w:val="24"/>
        </w:rPr>
      </w:pPr>
      <w:r>
        <w:rPr>
          <w:rFonts w:hint="eastAsia" w:ascii="仿宋" w:hAnsi="仿宋" w:eastAsia="仿宋" w:cs="宋体"/>
          <w:color w:val="000000"/>
          <w:kern w:val="0"/>
          <w:sz w:val="32"/>
          <w:szCs w:val="32"/>
        </w:rPr>
        <w:t>（6）获省部级及以上其他个人荣誉，或为学校获得重大荣誉者；</w:t>
      </w:r>
    </w:p>
    <w:p w14:paraId="735B78F1">
      <w:pPr>
        <w:widowControl/>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（7）其他应当认定为表现突出的情形。</w:t>
      </w:r>
    </w:p>
    <w:p w14:paraId="66AB85AF">
      <w:pPr>
        <w:widowControl/>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7.符合1-6条条件，且在“互联网+”、挑战杯、职规赛中获全国一等奖（或金奖）的主要成员（团队排名前 5）、二等奖（或银奖）的核心成员（团队排名前 3），可评定为省政府奖学金（不占用学院名额）。</w:t>
      </w:r>
    </w:p>
    <w:p w14:paraId="6E721188">
      <w:pPr>
        <w:widowControl/>
        <w:jc w:val="left"/>
        <w:rPr>
          <w:rFonts w:ascii="仿宋" w:hAnsi="仿宋" w:eastAsia="仿宋" w:cs="宋体"/>
          <w:b/>
          <w:color w:val="000000"/>
          <w:kern w:val="0"/>
          <w:sz w:val="32"/>
          <w:szCs w:val="32"/>
        </w:rPr>
      </w:pPr>
    </w:p>
    <w:p w14:paraId="3D87979D">
      <w:pPr>
        <w:widowControl/>
        <w:ind w:firstLine="643" w:firstLineChars="200"/>
        <w:jc w:val="left"/>
        <w:rPr>
          <w:rFonts w:ascii="仿宋" w:hAnsi="仿宋" w:eastAsia="仿宋" w:cs="宋体"/>
          <w:b/>
          <w:color w:val="000000"/>
          <w:kern w:val="0"/>
          <w:sz w:val="32"/>
          <w:szCs w:val="32"/>
        </w:rPr>
      </w:pPr>
      <w:r>
        <w:rPr>
          <w:rFonts w:hint="eastAsia" w:ascii="仿宋" w:hAnsi="仿宋" w:eastAsia="仿宋" w:cs="宋体"/>
          <w:b/>
          <w:color w:val="000000"/>
          <w:kern w:val="0"/>
          <w:sz w:val="32"/>
          <w:szCs w:val="32"/>
        </w:rPr>
        <w:t>三、评选办法</w:t>
      </w:r>
    </w:p>
    <w:p w14:paraId="5329BA29">
      <w:pPr>
        <w:ind w:firstLine="640" w:firstLineChars="200"/>
        <w:rPr>
          <w:rFonts w:ascii="仿宋" w:hAnsi="仿宋" w:eastAsia="仿宋" w:cs="仿宋"/>
          <w:sz w:val="32"/>
          <w:szCs w:val="32"/>
        </w:rPr>
      </w:pPr>
      <w:r>
        <w:rPr>
          <w:rFonts w:hint="eastAsia" w:ascii="仿宋" w:hAnsi="仿宋" w:eastAsia="仿宋" w:cs="仿宋"/>
          <w:sz w:val="32"/>
          <w:szCs w:val="32"/>
        </w:rPr>
        <w:t>在符合基本评选条件的基础上，省政府奖学金评定采用积分制，满分100分，由知识水平、创新能力、发展素质三个部分组成，其中知识水平占70%，创新能力占15%，综合素质占15%。创新能力和发展素质的计算方法为：（学生单项实际得分/班级或专业参评最高分）*100*15%。</w:t>
      </w:r>
    </w:p>
    <w:p w14:paraId="33D9C77B">
      <w:pPr>
        <w:ind w:firstLine="640" w:firstLineChars="200"/>
        <w:rPr>
          <w:rFonts w:ascii="仿宋" w:hAnsi="仿宋" w:eastAsia="仿宋" w:cs="仿宋"/>
          <w:sz w:val="32"/>
          <w:szCs w:val="32"/>
        </w:rPr>
      </w:pPr>
      <w:r>
        <w:rPr>
          <w:rFonts w:hint="eastAsia" w:ascii="仿宋" w:hAnsi="仿宋" w:eastAsia="仿宋" w:cs="仿宋"/>
          <w:sz w:val="32"/>
          <w:szCs w:val="32"/>
        </w:rPr>
        <w:t>（一）、知识水平</w:t>
      </w:r>
    </w:p>
    <w:p w14:paraId="057B60F2">
      <w:pPr>
        <w:ind w:firstLine="640" w:firstLineChars="200"/>
        <w:rPr>
          <w:rFonts w:ascii="仿宋" w:hAnsi="仿宋" w:eastAsia="仿宋" w:cs="仿宋"/>
          <w:sz w:val="32"/>
          <w:szCs w:val="32"/>
        </w:rPr>
      </w:pPr>
      <w:r>
        <w:rPr>
          <w:rFonts w:hint="eastAsia" w:ascii="仿宋" w:hAnsi="仿宋" w:eastAsia="仿宋" w:cs="仿宋"/>
          <w:sz w:val="32"/>
          <w:szCs w:val="32"/>
        </w:rPr>
        <w:t>（平均学分绩点/班级最高平均学分绩点</w:t>
      </w:r>
      <w:r>
        <w:rPr>
          <w:rFonts w:ascii="仿宋" w:hAnsi="仿宋" w:eastAsia="仿宋" w:cs="仿宋"/>
          <w:sz w:val="32"/>
          <w:szCs w:val="32"/>
        </w:rPr>
        <w:t>）</w:t>
      </w:r>
      <w:r>
        <w:rPr>
          <w:rFonts w:hint="eastAsia" w:ascii="仿宋" w:hAnsi="仿宋" w:eastAsia="仿宋" w:cs="仿宋"/>
          <w:sz w:val="32"/>
          <w:szCs w:val="32"/>
        </w:rPr>
        <w:t>*100*70%</w:t>
      </w:r>
    </w:p>
    <w:p w14:paraId="32D91C60">
      <w:pPr>
        <w:ind w:firstLine="420" w:firstLineChars="200"/>
      </w:pPr>
    </w:p>
    <w:p w14:paraId="6F0EFBB5">
      <w:pPr>
        <w:ind w:firstLine="640" w:firstLineChars="200"/>
        <w:rPr>
          <w:rFonts w:ascii="仿宋" w:hAnsi="仿宋" w:eastAsia="仿宋" w:cs="仿宋"/>
          <w:sz w:val="32"/>
          <w:szCs w:val="32"/>
        </w:rPr>
      </w:pPr>
      <w:r>
        <w:rPr>
          <w:rFonts w:hint="eastAsia" w:ascii="仿宋" w:hAnsi="仿宋" w:eastAsia="仿宋" w:cs="仿宋"/>
          <w:sz w:val="32"/>
          <w:szCs w:val="32"/>
        </w:rPr>
        <w:t>（二）、创新能力</w:t>
      </w:r>
    </w:p>
    <w:p w14:paraId="220BE5CB">
      <w:pPr>
        <w:ind w:firstLine="640" w:firstLineChars="200"/>
        <w:rPr>
          <w:rFonts w:ascii="仿宋" w:hAnsi="仿宋" w:eastAsia="仿宋" w:cs="仿宋"/>
          <w:sz w:val="32"/>
          <w:szCs w:val="32"/>
        </w:rPr>
      </w:pPr>
      <w:r>
        <w:rPr>
          <w:rFonts w:hint="eastAsia" w:ascii="仿宋" w:hAnsi="仿宋" w:eastAsia="仿宋" w:cs="仿宋"/>
          <w:sz w:val="32"/>
          <w:szCs w:val="32"/>
        </w:rPr>
        <w:t>1、学科竞赛</w:t>
      </w:r>
    </w:p>
    <w:p w14:paraId="053933AC">
      <w:pPr>
        <w:adjustRightInd w:val="0"/>
        <w:snapToGrid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积极参加省级以上且与专业相关的学科竞赛。</w:t>
      </w:r>
    </w:p>
    <w:tbl>
      <w:tblPr>
        <w:tblStyle w:val="5"/>
        <w:tblW w:w="89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2"/>
        <w:gridCol w:w="1200"/>
        <w:gridCol w:w="4108"/>
        <w:gridCol w:w="963"/>
        <w:gridCol w:w="1872"/>
      </w:tblGrid>
      <w:tr w14:paraId="02497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82" w:type="dxa"/>
            <w:vMerge w:val="restart"/>
            <w:vAlign w:val="center"/>
          </w:tcPr>
          <w:p w14:paraId="2D2C0AE2">
            <w:pPr>
              <w:spacing w:line="360" w:lineRule="auto"/>
              <w:jc w:val="center"/>
              <w:rPr>
                <w:rFonts w:ascii="宋体" w:hAnsi="宋体" w:cs="宋体"/>
                <w:bCs/>
                <w:sz w:val="24"/>
              </w:rPr>
            </w:pPr>
            <w:r>
              <w:rPr>
                <w:rFonts w:hint="eastAsia" w:ascii="宋体" w:hAnsi="宋体" w:cs="宋体"/>
                <w:bCs/>
                <w:sz w:val="24"/>
              </w:rPr>
              <w:t>1</w:t>
            </w:r>
          </w:p>
        </w:tc>
        <w:tc>
          <w:tcPr>
            <w:tcW w:w="1200" w:type="dxa"/>
            <w:vMerge w:val="restart"/>
            <w:vAlign w:val="center"/>
          </w:tcPr>
          <w:p w14:paraId="72FEB0EB">
            <w:pPr>
              <w:spacing w:line="360" w:lineRule="auto"/>
              <w:jc w:val="center"/>
              <w:rPr>
                <w:rFonts w:ascii="宋体" w:hAnsi="宋体" w:cs="宋体"/>
                <w:sz w:val="24"/>
              </w:rPr>
            </w:pPr>
            <w:r>
              <w:rPr>
                <w:rFonts w:hint="eastAsia" w:ascii="宋体" w:hAnsi="宋体" w:cs="宋体"/>
                <w:sz w:val="24"/>
              </w:rPr>
              <w:t>一类竞赛</w:t>
            </w:r>
          </w:p>
        </w:tc>
        <w:tc>
          <w:tcPr>
            <w:tcW w:w="4108" w:type="dxa"/>
            <w:vAlign w:val="center"/>
          </w:tcPr>
          <w:p w14:paraId="2B319208">
            <w:pPr>
              <w:spacing w:line="360" w:lineRule="auto"/>
              <w:jc w:val="center"/>
              <w:rPr>
                <w:rFonts w:ascii="宋体" w:hAnsi="宋体" w:cs="宋体"/>
                <w:bCs/>
                <w:sz w:val="24"/>
              </w:rPr>
            </w:pPr>
            <w:r>
              <w:rPr>
                <w:rFonts w:hint="eastAsia" w:ascii="宋体" w:hAnsi="宋体" w:cs="宋体"/>
                <w:bCs/>
                <w:sz w:val="24"/>
              </w:rPr>
              <w:t>国家特等、国家一等（即最高等次）</w:t>
            </w:r>
          </w:p>
        </w:tc>
        <w:tc>
          <w:tcPr>
            <w:tcW w:w="963" w:type="dxa"/>
          </w:tcPr>
          <w:p w14:paraId="0F488126">
            <w:pPr>
              <w:spacing w:line="360" w:lineRule="auto"/>
              <w:jc w:val="center"/>
              <w:rPr>
                <w:rFonts w:ascii="宋体" w:hAnsi="宋体" w:cs="宋体"/>
                <w:bCs/>
                <w:sz w:val="24"/>
              </w:rPr>
            </w:pPr>
            <w:r>
              <w:rPr>
                <w:rFonts w:hint="eastAsia" w:ascii="宋体" w:hAnsi="宋体" w:cs="宋体"/>
                <w:bCs/>
                <w:sz w:val="24"/>
              </w:rPr>
              <w:t>50</w:t>
            </w:r>
          </w:p>
        </w:tc>
        <w:tc>
          <w:tcPr>
            <w:tcW w:w="1872" w:type="dxa"/>
            <w:vMerge w:val="restart"/>
            <w:vAlign w:val="center"/>
          </w:tcPr>
          <w:p w14:paraId="0C6FB68D">
            <w:pPr>
              <w:adjustRightInd w:val="0"/>
              <w:snapToGrid w:val="0"/>
              <w:jc w:val="left"/>
              <w:rPr>
                <w:rFonts w:ascii="宋体" w:hAnsi="宋体"/>
                <w:bCs/>
                <w:sz w:val="24"/>
              </w:rPr>
            </w:pPr>
            <w:r>
              <w:rPr>
                <w:rFonts w:ascii="宋体" w:hAnsi="宋体"/>
                <w:bCs/>
                <w:sz w:val="24"/>
              </w:rPr>
              <w:t>获奖成员</w:t>
            </w:r>
            <w:r>
              <w:rPr>
                <w:rFonts w:hint="eastAsia" w:ascii="宋体" w:hAnsi="宋体"/>
                <w:bCs/>
                <w:sz w:val="24"/>
              </w:rPr>
              <w:t>（以获奖证书为准）</w:t>
            </w:r>
            <w:r>
              <w:rPr>
                <w:rFonts w:ascii="宋体" w:hAnsi="宋体"/>
                <w:bCs/>
                <w:sz w:val="24"/>
                <w:u w:val="single"/>
              </w:rPr>
              <w:t>人人加相应分数</w:t>
            </w:r>
          </w:p>
        </w:tc>
      </w:tr>
      <w:tr w14:paraId="4F347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82" w:type="dxa"/>
            <w:vMerge w:val="continue"/>
            <w:vAlign w:val="center"/>
          </w:tcPr>
          <w:p w14:paraId="0E17A505">
            <w:pPr>
              <w:spacing w:line="360" w:lineRule="auto"/>
              <w:jc w:val="center"/>
              <w:rPr>
                <w:rFonts w:ascii="宋体" w:hAnsi="宋体" w:cs="宋体"/>
                <w:bCs/>
                <w:sz w:val="24"/>
              </w:rPr>
            </w:pPr>
          </w:p>
        </w:tc>
        <w:tc>
          <w:tcPr>
            <w:tcW w:w="1200" w:type="dxa"/>
            <w:vMerge w:val="continue"/>
            <w:vAlign w:val="center"/>
          </w:tcPr>
          <w:p w14:paraId="71DACAE2">
            <w:pPr>
              <w:spacing w:line="360" w:lineRule="auto"/>
              <w:jc w:val="center"/>
              <w:rPr>
                <w:rFonts w:ascii="宋体" w:hAnsi="宋体" w:cs="宋体"/>
                <w:bCs/>
                <w:sz w:val="24"/>
              </w:rPr>
            </w:pPr>
          </w:p>
        </w:tc>
        <w:tc>
          <w:tcPr>
            <w:tcW w:w="4108" w:type="dxa"/>
            <w:vAlign w:val="center"/>
          </w:tcPr>
          <w:p w14:paraId="0B681B2E">
            <w:pPr>
              <w:spacing w:line="360" w:lineRule="auto"/>
              <w:jc w:val="center"/>
              <w:rPr>
                <w:rFonts w:ascii="宋体" w:hAnsi="宋体" w:cs="宋体"/>
                <w:bCs/>
                <w:sz w:val="24"/>
              </w:rPr>
            </w:pPr>
            <w:r>
              <w:rPr>
                <w:rFonts w:hint="eastAsia" w:ascii="宋体" w:hAnsi="宋体" w:cs="宋体"/>
                <w:bCs/>
                <w:sz w:val="24"/>
              </w:rPr>
              <w:t>国家二等、省特等</w:t>
            </w:r>
          </w:p>
        </w:tc>
        <w:tc>
          <w:tcPr>
            <w:tcW w:w="963" w:type="dxa"/>
          </w:tcPr>
          <w:p w14:paraId="49B113F6">
            <w:pPr>
              <w:spacing w:line="360" w:lineRule="auto"/>
              <w:jc w:val="center"/>
              <w:rPr>
                <w:rFonts w:ascii="宋体" w:hAnsi="宋体" w:cs="宋体"/>
                <w:bCs/>
                <w:sz w:val="24"/>
              </w:rPr>
            </w:pPr>
            <w:r>
              <w:rPr>
                <w:rFonts w:hint="eastAsia" w:ascii="宋体" w:hAnsi="宋体" w:cs="宋体"/>
                <w:bCs/>
                <w:sz w:val="24"/>
              </w:rPr>
              <w:t>30</w:t>
            </w:r>
          </w:p>
        </w:tc>
        <w:tc>
          <w:tcPr>
            <w:tcW w:w="1872" w:type="dxa"/>
            <w:vMerge w:val="continue"/>
          </w:tcPr>
          <w:p w14:paraId="17ABE3FB">
            <w:pPr>
              <w:spacing w:line="360" w:lineRule="auto"/>
              <w:jc w:val="center"/>
              <w:rPr>
                <w:rFonts w:ascii="宋体" w:hAnsi="宋体" w:cs="宋体"/>
                <w:bCs/>
                <w:sz w:val="24"/>
              </w:rPr>
            </w:pPr>
          </w:p>
        </w:tc>
      </w:tr>
      <w:tr w14:paraId="318A1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82" w:type="dxa"/>
            <w:vMerge w:val="continue"/>
            <w:vAlign w:val="center"/>
          </w:tcPr>
          <w:p w14:paraId="61519BFE">
            <w:pPr>
              <w:spacing w:line="360" w:lineRule="auto"/>
              <w:jc w:val="center"/>
              <w:rPr>
                <w:rFonts w:ascii="宋体" w:hAnsi="宋体" w:cs="宋体"/>
                <w:bCs/>
                <w:sz w:val="24"/>
              </w:rPr>
            </w:pPr>
          </w:p>
        </w:tc>
        <w:tc>
          <w:tcPr>
            <w:tcW w:w="1200" w:type="dxa"/>
            <w:vMerge w:val="continue"/>
            <w:vAlign w:val="center"/>
          </w:tcPr>
          <w:p w14:paraId="3992B7F4">
            <w:pPr>
              <w:spacing w:line="360" w:lineRule="auto"/>
              <w:jc w:val="center"/>
              <w:rPr>
                <w:rFonts w:ascii="宋体" w:hAnsi="宋体" w:cs="宋体"/>
                <w:bCs/>
                <w:sz w:val="24"/>
              </w:rPr>
            </w:pPr>
          </w:p>
        </w:tc>
        <w:tc>
          <w:tcPr>
            <w:tcW w:w="4108" w:type="dxa"/>
            <w:vAlign w:val="center"/>
          </w:tcPr>
          <w:p w14:paraId="5CD22542">
            <w:pPr>
              <w:spacing w:line="360" w:lineRule="auto"/>
              <w:jc w:val="center"/>
              <w:rPr>
                <w:rFonts w:ascii="宋体" w:hAnsi="宋体" w:cs="宋体"/>
                <w:bCs/>
                <w:sz w:val="24"/>
              </w:rPr>
            </w:pPr>
            <w:r>
              <w:rPr>
                <w:rFonts w:hint="eastAsia" w:ascii="宋体" w:hAnsi="宋体" w:cs="宋体"/>
                <w:bCs/>
                <w:sz w:val="24"/>
              </w:rPr>
              <w:t>国家三等、省一等</w:t>
            </w:r>
          </w:p>
        </w:tc>
        <w:tc>
          <w:tcPr>
            <w:tcW w:w="963" w:type="dxa"/>
          </w:tcPr>
          <w:p w14:paraId="4443593A">
            <w:pPr>
              <w:spacing w:line="360" w:lineRule="auto"/>
              <w:jc w:val="center"/>
              <w:rPr>
                <w:rFonts w:ascii="宋体" w:hAnsi="宋体" w:cs="宋体"/>
                <w:bCs/>
                <w:sz w:val="24"/>
              </w:rPr>
            </w:pPr>
            <w:r>
              <w:rPr>
                <w:rFonts w:hint="eastAsia" w:ascii="宋体" w:hAnsi="宋体" w:cs="宋体"/>
                <w:bCs/>
                <w:sz w:val="24"/>
              </w:rPr>
              <w:t>25</w:t>
            </w:r>
          </w:p>
        </w:tc>
        <w:tc>
          <w:tcPr>
            <w:tcW w:w="1872" w:type="dxa"/>
            <w:vMerge w:val="continue"/>
          </w:tcPr>
          <w:p w14:paraId="1B550762">
            <w:pPr>
              <w:spacing w:line="360" w:lineRule="auto"/>
              <w:jc w:val="center"/>
              <w:rPr>
                <w:rFonts w:ascii="宋体" w:hAnsi="宋体" w:cs="宋体"/>
                <w:bCs/>
                <w:sz w:val="24"/>
              </w:rPr>
            </w:pPr>
          </w:p>
        </w:tc>
      </w:tr>
      <w:tr w14:paraId="74483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82" w:type="dxa"/>
            <w:vMerge w:val="continue"/>
            <w:vAlign w:val="center"/>
          </w:tcPr>
          <w:p w14:paraId="4284C947">
            <w:pPr>
              <w:spacing w:line="360" w:lineRule="auto"/>
              <w:jc w:val="center"/>
              <w:rPr>
                <w:rFonts w:ascii="宋体" w:hAnsi="宋体" w:cs="宋体"/>
                <w:bCs/>
                <w:sz w:val="24"/>
              </w:rPr>
            </w:pPr>
          </w:p>
        </w:tc>
        <w:tc>
          <w:tcPr>
            <w:tcW w:w="1200" w:type="dxa"/>
            <w:vMerge w:val="continue"/>
            <w:vAlign w:val="center"/>
          </w:tcPr>
          <w:p w14:paraId="44C23AB3">
            <w:pPr>
              <w:spacing w:line="360" w:lineRule="auto"/>
              <w:jc w:val="center"/>
              <w:rPr>
                <w:rFonts w:ascii="宋体" w:hAnsi="宋体" w:cs="宋体"/>
                <w:bCs/>
                <w:sz w:val="24"/>
              </w:rPr>
            </w:pPr>
          </w:p>
        </w:tc>
        <w:tc>
          <w:tcPr>
            <w:tcW w:w="4108" w:type="dxa"/>
            <w:vAlign w:val="center"/>
          </w:tcPr>
          <w:p w14:paraId="255B0F65">
            <w:pPr>
              <w:spacing w:line="360" w:lineRule="auto"/>
              <w:jc w:val="center"/>
              <w:rPr>
                <w:rFonts w:ascii="宋体" w:hAnsi="宋体" w:cs="宋体"/>
                <w:bCs/>
                <w:sz w:val="24"/>
              </w:rPr>
            </w:pPr>
            <w:r>
              <w:rPr>
                <w:rFonts w:hint="eastAsia" w:ascii="宋体" w:hAnsi="宋体" w:cs="宋体"/>
                <w:bCs/>
                <w:sz w:val="24"/>
              </w:rPr>
              <w:t>国家优胜或鼓励奖、省二等</w:t>
            </w:r>
          </w:p>
        </w:tc>
        <w:tc>
          <w:tcPr>
            <w:tcW w:w="963" w:type="dxa"/>
          </w:tcPr>
          <w:p w14:paraId="620A37B8">
            <w:pPr>
              <w:spacing w:line="360" w:lineRule="auto"/>
              <w:jc w:val="center"/>
              <w:rPr>
                <w:rFonts w:ascii="宋体" w:hAnsi="宋体" w:cs="宋体"/>
                <w:bCs/>
                <w:sz w:val="24"/>
              </w:rPr>
            </w:pPr>
            <w:r>
              <w:rPr>
                <w:rFonts w:hint="eastAsia" w:ascii="宋体" w:hAnsi="宋体" w:cs="宋体"/>
                <w:bCs/>
                <w:sz w:val="24"/>
              </w:rPr>
              <w:t>20</w:t>
            </w:r>
          </w:p>
        </w:tc>
        <w:tc>
          <w:tcPr>
            <w:tcW w:w="1872" w:type="dxa"/>
            <w:vMerge w:val="continue"/>
          </w:tcPr>
          <w:p w14:paraId="56DBECE5">
            <w:pPr>
              <w:spacing w:line="360" w:lineRule="auto"/>
              <w:jc w:val="center"/>
              <w:rPr>
                <w:rFonts w:ascii="宋体" w:hAnsi="宋体" w:cs="宋体"/>
                <w:bCs/>
                <w:sz w:val="24"/>
              </w:rPr>
            </w:pPr>
          </w:p>
        </w:tc>
      </w:tr>
      <w:tr w14:paraId="614F3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82" w:type="dxa"/>
            <w:vMerge w:val="continue"/>
            <w:vAlign w:val="center"/>
          </w:tcPr>
          <w:p w14:paraId="576D77D8">
            <w:pPr>
              <w:spacing w:line="360" w:lineRule="auto"/>
              <w:jc w:val="center"/>
              <w:rPr>
                <w:rFonts w:ascii="宋体" w:hAnsi="宋体" w:cs="宋体"/>
                <w:bCs/>
                <w:sz w:val="24"/>
              </w:rPr>
            </w:pPr>
          </w:p>
        </w:tc>
        <w:tc>
          <w:tcPr>
            <w:tcW w:w="1200" w:type="dxa"/>
            <w:vMerge w:val="continue"/>
            <w:vAlign w:val="center"/>
          </w:tcPr>
          <w:p w14:paraId="646321F0">
            <w:pPr>
              <w:spacing w:line="360" w:lineRule="auto"/>
              <w:jc w:val="center"/>
              <w:rPr>
                <w:rFonts w:ascii="宋体" w:hAnsi="宋体" w:cs="宋体"/>
                <w:bCs/>
                <w:sz w:val="24"/>
              </w:rPr>
            </w:pPr>
          </w:p>
        </w:tc>
        <w:tc>
          <w:tcPr>
            <w:tcW w:w="4108" w:type="dxa"/>
            <w:vAlign w:val="center"/>
          </w:tcPr>
          <w:p w14:paraId="4E52CEEE">
            <w:pPr>
              <w:spacing w:line="360" w:lineRule="auto"/>
              <w:jc w:val="center"/>
              <w:rPr>
                <w:rFonts w:ascii="宋体" w:hAnsi="宋体" w:cs="宋体"/>
                <w:bCs/>
                <w:sz w:val="24"/>
              </w:rPr>
            </w:pPr>
            <w:r>
              <w:rPr>
                <w:rFonts w:hint="eastAsia" w:ascii="宋体" w:hAnsi="宋体" w:cs="宋体"/>
                <w:bCs/>
                <w:sz w:val="24"/>
              </w:rPr>
              <w:t>省三等、数学建模成功参赛奖</w:t>
            </w:r>
          </w:p>
        </w:tc>
        <w:tc>
          <w:tcPr>
            <w:tcW w:w="963" w:type="dxa"/>
          </w:tcPr>
          <w:p w14:paraId="43638563">
            <w:pPr>
              <w:spacing w:line="360" w:lineRule="auto"/>
              <w:jc w:val="center"/>
              <w:rPr>
                <w:rFonts w:ascii="宋体" w:hAnsi="宋体" w:cs="宋体"/>
                <w:bCs/>
                <w:sz w:val="24"/>
              </w:rPr>
            </w:pPr>
            <w:r>
              <w:rPr>
                <w:rFonts w:hint="eastAsia" w:ascii="宋体" w:hAnsi="宋体" w:cs="宋体"/>
                <w:bCs/>
                <w:sz w:val="24"/>
              </w:rPr>
              <w:t>15</w:t>
            </w:r>
          </w:p>
        </w:tc>
        <w:tc>
          <w:tcPr>
            <w:tcW w:w="1872" w:type="dxa"/>
            <w:vMerge w:val="continue"/>
          </w:tcPr>
          <w:p w14:paraId="22A9B2C9">
            <w:pPr>
              <w:spacing w:line="360" w:lineRule="auto"/>
              <w:jc w:val="center"/>
              <w:rPr>
                <w:rFonts w:ascii="宋体" w:hAnsi="宋体" w:cs="宋体"/>
                <w:bCs/>
                <w:sz w:val="24"/>
              </w:rPr>
            </w:pPr>
          </w:p>
        </w:tc>
      </w:tr>
      <w:tr w14:paraId="1F6F9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82" w:type="dxa"/>
            <w:vMerge w:val="restart"/>
            <w:vAlign w:val="center"/>
          </w:tcPr>
          <w:p w14:paraId="598DF84F">
            <w:pPr>
              <w:spacing w:line="360" w:lineRule="auto"/>
              <w:jc w:val="center"/>
              <w:rPr>
                <w:rFonts w:ascii="宋体" w:hAnsi="宋体" w:cs="宋体"/>
                <w:bCs/>
                <w:sz w:val="24"/>
              </w:rPr>
            </w:pPr>
          </w:p>
          <w:p w14:paraId="748C227D">
            <w:pPr>
              <w:spacing w:line="360" w:lineRule="auto"/>
              <w:jc w:val="center"/>
              <w:rPr>
                <w:rFonts w:ascii="宋体" w:hAnsi="宋体" w:cs="宋体"/>
                <w:bCs/>
                <w:sz w:val="24"/>
              </w:rPr>
            </w:pPr>
            <w:r>
              <w:rPr>
                <w:rFonts w:hint="eastAsia" w:ascii="宋体" w:hAnsi="宋体" w:cs="宋体"/>
                <w:bCs/>
                <w:sz w:val="24"/>
              </w:rPr>
              <w:t>2</w:t>
            </w:r>
          </w:p>
          <w:p w14:paraId="0DB247E9">
            <w:pPr>
              <w:spacing w:line="360" w:lineRule="auto"/>
              <w:jc w:val="center"/>
              <w:rPr>
                <w:rFonts w:ascii="宋体" w:hAnsi="宋体" w:cs="宋体"/>
                <w:bCs/>
                <w:sz w:val="24"/>
              </w:rPr>
            </w:pPr>
          </w:p>
        </w:tc>
        <w:tc>
          <w:tcPr>
            <w:tcW w:w="1200" w:type="dxa"/>
            <w:vMerge w:val="restart"/>
            <w:vAlign w:val="center"/>
          </w:tcPr>
          <w:p w14:paraId="46C4F6C7">
            <w:pPr>
              <w:spacing w:line="360" w:lineRule="auto"/>
              <w:rPr>
                <w:rFonts w:ascii="宋体" w:hAnsi="宋体" w:cs="宋体"/>
                <w:sz w:val="24"/>
              </w:rPr>
            </w:pPr>
            <w:r>
              <w:rPr>
                <w:rFonts w:ascii="宋体" w:hAnsi="宋体" w:cs="宋体"/>
                <w:sz w:val="24"/>
              </w:rPr>
              <w:t>二类竞赛</w:t>
            </w:r>
          </w:p>
        </w:tc>
        <w:tc>
          <w:tcPr>
            <w:tcW w:w="4108" w:type="dxa"/>
            <w:vAlign w:val="center"/>
          </w:tcPr>
          <w:p w14:paraId="45737DF2">
            <w:pPr>
              <w:spacing w:line="360" w:lineRule="auto"/>
              <w:jc w:val="center"/>
              <w:rPr>
                <w:rFonts w:ascii="宋体" w:hAnsi="宋体" w:cs="宋体"/>
                <w:bCs/>
                <w:sz w:val="24"/>
              </w:rPr>
            </w:pPr>
            <w:r>
              <w:rPr>
                <w:rFonts w:hint="eastAsia" w:ascii="宋体" w:hAnsi="宋体" w:cs="宋体"/>
                <w:bCs/>
                <w:sz w:val="24"/>
              </w:rPr>
              <w:t>国家特等、国家一等（即最高等次）</w:t>
            </w:r>
          </w:p>
        </w:tc>
        <w:tc>
          <w:tcPr>
            <w:tcW w:w="963" w:type="dxa"/>
          </w:tcPr>
          <w:p w14:paraId="42371405">
            <w:pPr>
              <w:spacing w:line="360" w:lineRule="auto"/>
              <w:jc w:val="center"/>
              <w:rPr>
                <w:rFonts w:ascii="宋体" w:hAnsi="宋体" w:cs="宋体"/>
                <w:bCs/>
                <w:sz w:val="24"/>
              </w:rPr>
            </w:pPr>
            <w:r>
              <w:rPr>
                <w:rFonts w:hint="eastAsia" w:ascii="宋体" w:hAnsi="宋体" w:cs="宋体"/>
                <w:bCs/>
                <w:sz w:val="24"/>
              </w:rPr>
              <w:t>50*0.6</w:t>
            </w:r>
          </w:p>
        </w:tc>
        <w:tc>
          <w:tcPr>
            <w:tcW w:w="1872" w:type="dxa"/>
            <w:vMerge w:val="restart"/>
            <w:vAlign w:val="center"/>
          </w:tcPr>
          <w:p w14:paraId="488F6913">
            <w:pPr>
              <w:adjustRightInd w:val="0"/>
              <w:snapToGrid w:val="0"/>
              <w:jc w:val="center"/>
              <w:rPr>
                <w:rFonts w:ascii="宋体" w:hAnsi="宋体"/>
                <w:bCs/>
                <w:sz w:val="24"/>
              </w:rPr>
            </w:pPr>
            <w:r>
              <w:rPr>
                <w:rFonts w:ascii="宋体" w:hAnsi="宋体"/>
                <w:bCs/>
                <w:sz w:val="24"/>
              </w:rPr>
              <w:t>获奖成员</w:t>
            </w:r>
            <w:r>
              <w:rPr>
                <w:rFonts w:hint="eastAsia" w:ascii="宋体" w:hAnsi="宋体"/>
                <w:bCs/>
                <w:sz w:val="24"/>
              </w:rPr>
              <w:t>（以获奖证书为准）</w:t>
            </w:r>
            <w:r>
              <w:rPr>
                <w:rFonts w:hint="eastAsia" w:ascii="宋体" w:hAnsi="宋体"/>
                <w:bCs/>
                <w:sz w:val="24"/>
                <w:u w:val="single"/>
              </w:rPr>
              <w:t>平分</w:t>
            </w:r>
            <w:r>
              <w:rPr>
                <w:rFonts w:ascii="宋体" w:hAnsi="宋体"/>
                <w:bCs/>
                <w:sz w:val="24"/>
                <w:u w:val="single"/>
              </w:rPr>
              <w:t>相应分数</w:t>
            </w:r>
          </w:p>
        </w:tc>
      </w:tr>
      <w:tr w14:paraId="511EB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82" w:type="dxa"/>
            <w:vMerge w:val="continue"/>
            <w:vAlign w:val="center"/>
          </w:tcPr>
          <w:p w14:paraId="24BC1682">
            <w:pPr>
              <w:spacing w:line="360" w:lineRule="auto"/>
              <w:jc w:val="center"/>
              <w:rPr>
                <w:rFonts w:ascii="宋体" w:hAnsi="宋体" w:cs="宋体"/>
                <w:bCs/>
                <w:sz w:val="24"/>
              </w:rPr>
            </w:pPr>
          </w:p>
        </w:tc>
        <w:tc>
          <w:tcPr>
            <w:tcW w:w="1200" w:type="dxa"/>
            <w:vMerge w:val="continue"/>
            <w:vAlign w:val="center"/>
          </w:tcPr>
          <w:p w14:paraId="2F6D309E">
            <w:pPr>
              <w:spacing w:line="360" w:lineRule="auto"/>
              <w:jc w:val="center"/>
              <w:rPr>
                <w:rFonts w:ascii="宋体" w:hAnsi="宋体" w:cs="宋体"/>
                <w:sz w:val="24"/>
              </w:rPr>
            </w:pPr>
          </w:p>
        </w:tc>
        <w:tc>
          <w:tcPr>
            <w:tcW w:w="4108" w:type="dxa"/>
            <w:vAlign w:val="center"/>
          </w:tcPr>
          <w:p w14:paraId="463BFE1A">
            <w:pPr>
              <w:spacing w:line="360" w:lineRule="auto"/>
              <w:jc w:val="center"/>
              <w:rPr>
                <w:rFonts w:ascii="宋体" w:hAnsi="宋体" w:cs="宋体"/>
                <w:bCs/>
                <w:sz w:val="24"/>
              </w:rPr>
            </w:pPr>
            <w:r>
              <w:rPr>
                <w:rFonts w:hint="eastAsia" w:ascii="宋体" w:hAnsi="宋体" w:cs="宋体"/>
                <w:bCs/>
                <w:sz w:val="24"/>
              </w:rPr>
              <w:t>国家二等、省特等</w:t>
            </w:r>
          </w:p>
        </w:tc>
        <w:tc>
          <w:tcPr>
            <w:tcW w:w="963" w:type="dxa"/>
          </w:tcPr>
          <w:p w14:paraId="3E79B674">
            <w:pPr>
              <w:spacing w:line="360" w:lineRule="auto"/>
              <w:jc w:val="center"/>
              <w:rPr>
                <w:rFonts w:ascii="宋体" w:hAnsi="宋体" w:cs="宋体"/>
                <w:bCs/>
                <w:sz w:val="24"/>
              </w:rPr>
            </w:pPr>
            <w:r>
              <w:rPr>
                <w:rFonts w:hint="eastAsia" w:ascii="宋体" w:hAnsi="宋体" w:cs="宋体"/>
                <w:bCs/>
                <w:sz w:val="24"/>
              </w:rPr>
              <w:t>30*0.6</w:t>
            </w:r>
          </w:p>
        </w:tc>
        <w:tc>
          <w:tcPr>
            <w:tcW w:w="1872" w:type="dxa"/>
            <w:vMerge w:val="continue"/>
          </w:tcPr>
          <w:p w14:paraId="37B3F2DA">
            <w:pPr>
              <w:adjustRightInd w:val="0"/>
              <w:snapToGrid w:val="0"/>
              <w:jc w:val="left"/>
              <w:rPr>
                <w:rFonts w:ascii="宋体" w:hAnsi="宋体"/>
                <w:bCs/>
                <w:sz w:val="24"/>
              </w:rPr>
            </w:pPr>
          </w:p>
        </w:tc>
      </w:tr>
      <w:tr w14:paraId="2169A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82" w:type="dxa"/>
            <w:vMerge w:val="continue"/>
            <w:vAlign w:val="center"/>
          </w:tcPr>
          <w:p w14:paraId="2DD15058">
            <w:pPr>
              <w:spacing w:line="360" w:lineRule="auto"/>
              <w:jc w:val="center"/>
              <w:rPr>
                <w:rFonts w:ascii="宋体" w:hAnsi="宋体" w:cs="宋体"/>
                <w:bCs/>
                <w:sz w:val="24"/>
              </w:rPr>
            </w:pPr>
          </w:p>
        </w:tc>
        <w:tc>
          <w:tcPr>
            <w:tcW w:w="1200" w:type="dxa"/>
            <w:vMerge w:val="continue"/>
            <w:vAlign w:val="center"/>
          </w:tcPr>
          <w:p w14:paraId="71B7F1AB">
            <w:pPr>
              <w:spacing w:line="360" w:lineRule="auto"/>
              <w:jc w:val="center"/>
              <w:rPr>
                <w:rFonts w:ascii="宋体" w:hAnsi="宋体" w:cs="宋体"/>
                <w:sz w:val="24"/>
              </w:rPr>
            </w:pPr>
          </w:p>
        </w:tc>
        <w:tc>
          <w:tcPr>
            <w:tcW w:w="4108" w:type="dxa"/>
            <w:vAlign w:val="center"/>
          </w:tcPr>
          <w:p w14:paraId="7748288A">
            <w:pPr>
              <w:spacing w:line="360" w:lineRule="auto"/>
              <w:jc w:val="center"/>
              <w:rPr>
                <w:rFonts w:ascii="宋体" w:hAnsi="宋体" w:cs="宋体"/>
                <w:bCs/>
                <w:sz w:val="24"/>
              </w:rPr>
            </w:pPr>
            <w:r>
              <w:rPr>
                <w:rFonts w:hint="eastAsia" w:ascii="宋体" w:hAnsi="宋体" w:cs="宋体"/>
                <w:bCs/>
                <w:sz w:val="24"/>
              </w:rPr>
              <w:t>国家三等、省一等</w:t>
            </w:r>
          </w:p>
        </w:tc>
        <w:tc>
          <w:tcPr>
            <w:tcW w:w="963" w:type="dxa"/>
          </w:tcPr>
          <w:p w14:paraId="2E3019E9">
            <w:pPr>
              <w:spacing w:line="360" w:lineRule="auto"/>
              <w:jc w:val="center"/>
              <w:rPr>
                <w:rFonts w:ascii="宋体" w:hAnsi="宋体" w:cs="宋体"/>
                <w:bCs/>
                <w:sz w:val="24"/>
              </w:rPr>
            </w:pPr>
            <w:r>
              <w:rPr>
                <w:rFonts w:hint="eastAsia" w:ascii="宋体" w:hAnsi="宋体" w:cs="宋体"/>
                <w:bCs/>
                <w:sz w:val="24"/>
              </w:rPr>
              <w:t>25*0.6</w:t>
            </w:r>
          </w:p>
        </w:tc>
        <w:tc>
          <w:tcPr>
            <w:tcW w:w="1872" w:type="dxa"/>
            <w:vMerge w:val="continue"/>
          </w:tcPr>
          <w:p w14:paraId="0C365BF3">
            <w:pPr>
              <w:adjustRightInd w:val="0"/>
              <w:snapToGrid w:val="0"/>
              <w:jc w:val="left"/>
              <w:rPr>
                <w:rFonts w:ascii="宋体" w:hAnsi="宋体"/>
                <w:bCs/>
                <w:sz w:val="24"/>
              </w:rPr>
            </w:pPr>
          </w:p>
        </w:tc>
      </w:tr>
      <w:tr w14:paraId="69AD7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82" w:type="dxa"/>
            <w:vMerge w:val="continue"/>
            <w:vAlign w:val="center"/>
          </w:tcPr>
          <w:p w14:paraId="06A0BA4C">
            <w:pPr>
              <w:spacing w:line="360" w:lineRule="auto"/>
              <w:jc w:val="center"/>
              <w:rPr>
                <w:rFonts w:ascii="宋体" w:hAnsi="宋体" w:cs="宋体"/>
                <w:bCs/>
                <w:sz w:val="24"/>
              </w:rPr>
            </w:pPr>
          </w:p>
        </w:tc>
        <w:tc>
          <w:tcPr>
            <w:tcW w:w="1200" w:type="dxa"/>
            <w:vMerge w:val="continue"/>
            <w:vAlign w:val="center"/>
          </w:tcPr>
          <w:p w14:paraId="05C563EA">
            <w:pPr>
              <w:spacing w:line="360" w:lineRule="auto"/>
              <w:jc w:val="center"/>
              <w:rPr>
                <w:rFonts w:ascii="宋体" w:hAnsi="宋体" w:cs="宋体"/>
                <w:sz w:val="24"/>
              </w:rPr>
            </w:pPr>
          </w:p>
        </w:tc>
        <w:tc>
          <w:tcPr>
            <w:tcW w:w="4108" w:type="dxa"/>
            <w:vAlign w:val="center"/>
          </w:tcPr>
          <w:p w14:paraId="3CFEB8B6">
            <w:pPr>
              <w:spacing w:line="360" w:lineRule="auto"/>
              <w:jc w:val="center"/>
              <w:rPr>
                <w:rFonts w:ascii="宋体" w:hAnsi="宋体" w:cs="宋体"/>
                <w:bCs/>
                <w:sz w:val="24"/>
              </w:rPr>
            </w:pPr>
            <w:r>
              <w:rPr>
                <w:rFonts w:hint="eastAsia" w:ascii="宋体" w:hAnsi="宋体" w:cs="宋体"/>
                <w:bCs/>
                <w:sz w:val="24"/>
              </w:rPr>
              <w:t>国家优胜或鼓励奖、省二等</w:t>
            </w:r>
          </w:p>
        </w:tc>
        <w:tc>
          <w:tcPr>
            <w:tcW w:w="963" w:type="dxa"/>
          </w:tcPr>
          <w:p w14:paraId="16948F2D">
            <w:pPr>
              <w:spacing w:line="360" w:lineRule="auto"/>
              <w:jc w:val="center"/>
              <w:rPr>
                <w:rFonts w:ascii="宋体" w:hAnsi="宋体" w:cs="宋体"/>
                <w:bCs/>
                <w:sz w:val="24"/>
              </w:rPr>
            </w:pPr>
            <w:r>
              <w:rPr>
                <w:rFonts w:hint="eastAsia" w:ascii="宋体" w:hAnsi="宋体" w:cs="宋体"/>
                <w:bCs/>
                <w:sz w:val="24"/>
              </w:rPr>
              <w:t>20*0.6</w:t>
            </w:r>
          </w:p>
        </w:tc>
        <w:tc>
          <w:tcPr>
            <w:tcW w:w="1872" w:type="dxa"/>
            <w:vMerge w:val="continue"/>
          </w:tcPr>
          <w:p w14:paraId="1978D783">
            <w:pPr>
              <w:adjustRightInd w:val="0"/>
              <w:snapToGrid w:val="0"/>
              <w:jc w:val="left"/>
              <w:rPr>
                <w:rFonts w:ascii="宋体" w:hAnsi="宋体"/>
                <w:bCs/>
                <w:sz w:val="24"/>
              </w:rPr>
            </w:pPr>
          </w:p>
        </w:tc>
      </w:tr>
      <w:tr w14:paraId="21D3E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782" w:type="dxa"/>
            <w:vMerge w:val="continue"/>
            <w:vAlign w:val="center"/>
          </w:tcPr>
          <w:p w14:paraId="6AE01535">
            <w:pPr>
              <w:spacing w:line="360" w:lineRule="auto"/>
              <w:jc w:val="center"/>
              <w:rPr>
                <w:rFonts w:ascii="宋体" w:hAnsi="宋体" w:cs="宋体"/>
                <w:bCs/>
                <w:sz w:val="24"/>
              </w:rPr>
            </w:pPr>
          </w:p>
        </w:tc>
        <w:tc>
          <w:tcPr>
            <w:tcW w:w="1200" w:type="dxa"/>
            <w:vMerge w:val="continue"/>
            <w:vAlign w:val="center"/>
          </w:tcPr>
          <w:p w14:paraId="2E74E837">
            <w:pPr>
              <w:spacing w:line="360" w:lineRule="auto"/>
              <w:jc w:val="center"/>
              <w:rPr>
                <w:rFonts w:ascii="宋体" w:hAnsi="宋体" w:cs="宋体"/>
                <w:sz w:val="24"/>
              </w:rPr>
            </w:pPr>
          </w:p>
        </w:tc>
        <w:tc>
          <w:tcPr>
            <w:tcW w:w="4108" w:type="dxa"/>
            <w:vAlign w:val="center"/>
          </w:tcPr>
          <w:p w14:paraId="34F98098">
            <w:pPr>
              <w:spacing w:line="360" w:lineRule="auto"/>
              <w:jc w:val="center"/>
              <w:rPr>
                <w:rFonts w:ascii="宋体" w:hAnsi="宋体" w:cs="宋体"/>
                <w:bCs/>
                <w:sz w:val="24"/>
              </w:rPr>
            </w:pPr>
            <w:r>
              <w:rPr>
                <w:rFonts w:hint="eastAsia" w:ascii="宋体" w:hAnsi="宋体" w:cs="宋体"/>
                <w:bCs/>
                <w:sz w:val="24"/>
              </w:rPr>
              <w:t>省三等</w:t>
            </w:r>
          </w:p>
        </w:tc>
        <w:tc>
          <w:tcPr>
            <w:tcW w:w="963" w:type="dxa"/>
          </w:tcPr>
          <w:p w14:paraId="112266A2">
            <w:pPr>
              <w:spacing w:line="360" w:lineRule="auto"/>
              <w:jc w:val="center"/>
              <w:rPr>
                <w:rFonts w:ascii="宋体" w:hAnsi="宋体" w:cs="宋体"/>
                <w:bCs/>
                <w:sz w:val="24"/>
              </w:rPr>
            </w:pPr>
            <w:r>
              <w:rPr>
                <w:rFonts w:hint="eastAsia" w:ascii="宋体" w:hAnsi="宋体" w:cs="宋体"/>
                <w:bCs/>
                <w:sz w:val="24"/>
              </w:rPr>
              <w:t>15*0.6</w:t>
            </w:r>
          </w:p>
        </w:tc>
        <w:tc>
          <w:tcPr>
            <w:tcW w:w="1872" w:type="dxa"/>
            <w:vMerge w:val="continue"/>
          </w:tcPr>
          <w:p w14:paraId="637056E3">
            <w:pPr>
              <w:adjustRightInd w:val="0"/>
              <w:snapToGrid w:val="0"/>
              <w:jc w:val="left"/>
              <w:rPr>
                <w:rFonts w:ascii="宋体" w:hAnsi="宋体"/>
                <w:bCs/>
                <w:sz w:val="24"/>
              </w:rPr>
            </w:pPr>
          </w:p>
        </w:tc>
      </w:tr>
      <w:tr w14:paraId="44635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782" w:type="dxa"/>
            <w:vMerge w:val="restart"/>
            <w:vAlign w:val="center"/>
          </w:tcPr>
          <w:p w14:paraId="67E46726">
            <w:pPr>
              <w:spacing w:line="360" w:lineRule="auto"/>
              <w:jc w:val="center"/>
              <w:rPr>
                <w:rFonts w:ascii="宋体" w:hAnsi="宋体" w:cs="宋体"/>
                <w:bCs/>
                <w:sz w:val="24"/>
              </w:rPr>
            </w:pPr>
            <w:r>
              <w:rPr>
                <w:rFonts w:hint="eastAsia" w:ascii="宋体" w:hAnsi="宋体" w:cs="宋体"/>
                <w:bCs/>
                <w:sz w:val="24"/>
              </w:rPr>
              <w:t>3</w:t>
            </w:r>
          </w:p>
        </w:tc>
        <w:tc>
          <w:tcPr>
            <w:tcW w:w="1200" w:type="dxa"/>
            <w:vMerge w:val="restart"/>
            <w:vAlign w:val="center"/>
          </w:tcPr>
          <w:p w14:paraId="15C21B73">
            <w:pPr>
              <w:adjustRightInd w:val="0"/>
              <w:snapToGrid w:val="0"/>
              <w:jc w:val="center"/>
              <w:rPr>
                <w:rFonts w:ascii="宋体" w:hAnsi="宋体"/>
                <w:bCs/>
                <w:sz w:val="24"/>
              </w:rPr>
            </w:pPr>
            <w:r>
              <w:rPr>
                <w:rFonts w:hint="eastAsia" w:ascii="宋体" w:hAnsi="宋体"/>
                <w:bCs/>
                <w:sz w:val="24"/>
              </w:rPr>
              <w:t>三类竞赛和</w:t>
            </w:r>
          </w:p>
          <w:p w14:paraId="21058AF9">
            <w:pPr>
              <w:adjustRightInd w:val="0"/>
              <w:snapToGrid w:val="0"/>
              <w:jc w:val="center"/>
              <w:rPr>
                <w:rFonts w:ascii="宋体" w:hAnsi="宋体"/>
                <w:bCs/>
                <w:sz w:val="24"/>
              </w:rPr>
            </w:pPr>
            <w:r>
              <w:rPr>
                <w:rFonts w:hint="eastAsia" w:ascii="宋体" w:hAnsi="宋体"/>
                <w:bCs/>
                <w:sz w:val="24"/>
              </w:rPr>
              <w:t>其他竞赛</w:t>
            </w:r>
          </w:p>
        </w:tc>
        <w:tc>
          <w:tcPr>
            <w:tcW w:w="4108" w:type="dxa"/>
            <w:vAlign w:val="center"/>
          </w:tcPr>
          <w:p w14:paraId="5ADA4601">
            <w:pPr>
              <w:spacing w:line="360" w:lineRule="auto"/>
              <w:jc w:val="center"/>
              <w:rPr>
                <w:rFonts w:ascii="宋体" w:hAnsi="宋体" w:cs="宋体"/>
                <w:bCs/>
                <w:sz w:val="24"/>
              </w:rPr>
            </w:pPr>
            <w:r>
              <w:rPr>
                <w:rFonts w:hint="eastAsia" w:ascii="宋体" w:hAnsi="宋体" w:cs="宋体"/>
                <w:bCs/>
                <w:sz w:val="24"/>
              </w:rPr>
              <w:t>国家特等、国家一等（即最高等次）</w:t>
            </w:r>
          </w:p>
        </w:tc>
        <w:tc>
          <w:tcPr>
            <w:tcW w:w="963" w:type="dxa"/>
          </w:tcPr>
          <w:p w14:paraId="1FC03BAB">
            <w:pPr>
              <w:spacing w:line="360" w:lineRule="auto"/>
              <w:jc w:val="center"/>
              <w:rPr>
                <w:rFonts w:ascii="宋体" w:hAnsi="宋体" w:cs="宋体"/>
                <w:bCs/>
                <w:sz w:val="24"/>
              </w:rPr>
            </w:pPr>
            <w:r>
              <w:rPr>
                <w:rFonts w:hint="eastAsia" w:ascii="宋体" w:hAnsi="宋体" w:cs="宋体"/>
                <w:bCs/>
                <w:sz w:val="24"/>
              </w:rPr>
              <w:t>50*0.2</w:t>
            </w:r>
          </w:p>
        </w:tc>
        <w:tc>
          <w:tcPr>
            <w:tcW w:w="1872" w:type="dxa"/>
            <w:vMerge w:val="restart"/>
            <w:vAlign w:val="center"/>
          </w:tcPr>
          <w:p w14:paraId="2D7138F8">
            <w:pPr>
              <w:adjustRightInd w:val="0"/>
              <w:snapToGrid w:val="0"/>
              <w:jc w:val="center"/>
              <w:rPr>
                <w:rFonts w:ascii="宋体" w:hAnsi="宋体"/>
                <w:bCs/>
                <w:sz w:val="24"/>
              </w:rPr>
            </w:pPr>
            <w:r>
              <w:rPr>
                <w:rFonts w:ascii="宋体" w:hAnsi="宋体"/>
                <w:bCs/>
                <w:sz w:val="24"/>
              </w:rPr>
              <w:t>获奖成员</w:t>
            </w:r>
            <w:r>
              <w:rPr>
                <w:rFonts w:hint="eastAsia" w:ascii="宋体" w:hAnsi="宋体"/>
                <w:bCs/>
                <w:sz w:val="24"/>
              </w:rPr>
              <w:t>（以获奖证书为准）</w:t>
            </w:r>
            <w:r>
              <w:rPr>
                <w:rFonts w:hint="eastAsia" w:ascii="宋体" w:hAnsi="宋体"/>
                <w:bCs/>
                <w:sz w:val="24"/>
                <w:u w:val="single"/>
              </w:rPr>
              <w:t>平分</w:t>
            </w:r>
            <w:r>
              <w:rPr>
                <w:rFonts w:ascii="宋体" w:hAnsi="宋体"/>
                <w:bCs/>
                <w:sz w:val="24"/>
                <w:u w:val="single"/>
              </w:rPr>
              <w:t>相应分数</w:t>
            </w:r>
          </w:p>
        </w:tc>
      </w:tr>
      <w:tr w14:paraId="17779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exact"/>
        </w:trPr>
        <w:tc>
          <w:tcPr>
            <w:tcW w:w="782" w:type="dxa"/>
            <w:vMerge w:val="continue"/>
            <w:vAlign w:val="center"/>
          </w:tcPr>
          <w:p w14:paraId="555217C4">
            <w:pPr>
              <w:spacing w:line="360" w:lineRule="auto"/>
              <w:jc w:val="center"/>
              <w:rPr>
                <w:rFonts w:ascii="宋体" w:hAnsi="宋体" w:cs="宋体"/>
                <w:bCs/>
                <w:sz w:val="24"/>
              </w:rPr>
            </w:pPr>
          </w:p>
        </w:tc>
        <w:tc>
          <w:tcPr>
            <w:tcW w:w="1200" w:type="dxa"/>
            <w:vMerge w:val="continue"/>
            <w:vAlign w:val="center"/>
          </w:tcPr>
          <w:p w14:paraId="6A75FBE0">
            <w:pPr>
              <w:adjustRightInd w:val="0"/>
              <w:snapToGrid w:val="0"/>
              <w:jc w:val="center"/>
              <w:rPr>
                <w:rFonts w:ascii="宋体" w:hAnsi="宋体"/>
                <w:bCs/>
                <w:sz w:val="24"/>
              </w:rPr>
            </w:pPr>
          </w:p>
        </w:tc>
        <w:tc>
          <w:tcPr>
            <w:tcW w:w="4108" w:type="dxa"/>
            <w:vAlign w:val="center"/>
          </w:tcPr>
          <w:p w14:paraId="07F131A0">
            <w:pPr>
              <w:spacing w:line="360" w:lineRule="auto"/>
              <w:jc w:val="center"/>
              <w:rPr>
                <w:rFonts w:ascii="宋体" w:hAnsi="宋体" w:cs="宋体"/>
                <w:bCs/>
                <w:sz w:val="24"/>
              </w:rPr>
            </w:pPr>
            <w:r>
              <w:rPr>
                <w:rFonts w:hint="eastAsia" w:ascii="宋体" w:hAnsi="宋体" w:cs="宋体"/>
                <w:bCs/>
                <w:sz w:val="24"/>
              </w:rPr>
              <w:t>国家二等、省特等</w:t>
            </w:r>
          </w:p>
        </w:tc>
        <w:tc>
          <w:tcPr>
            <w:tcW w:w="963" w:type="dxa"/>
          </w:tcPr>
          <w:p w14:paraId="6C8DACAD">
            <w:pPr>
              <w:spacing w:line="360" w:lineRule="auto"/>
              <w:jc w:val="center"/>
              <w:rPr>
                <w:rFonts w:ascii="宋体" w:hAnsi="宋体" w:cs="宋体"/>
                <w:bCs/>
                <w:sz w:val="24"/>
              </w:rPr>
            </w:pPr>
            <w:r>
              <w:rPr>
                <w:rFonts w:hint="eastAsia" w:ascii="宋体" w:hAnsi="宋体" w:cs="宋体"/>
                <w:bCs/>
                <w:sz w:val="24"/>
              </w:rPr>
              <w:t>30*0.2</w:t>
            </w:r>
          </w:p>
        </w:tc>
        <w:tc>
          <w:tcPr>
            <w:tcW w:w="1872" w:type="dxa"/>
            <w:vMerge w:val="continue"/>
            <w:vAlign w:val="center"/>
          </w:tcPr>
          <w:p w14:paraId="654BEF0D">
            <w:pPr>
              <w:adjustRightInd w:val="0"/>
              <w:snapToGrid w:val="0"/>
              <w:jc w:val="center"/>
              <w:rPr>
                <w:rFonts w:ascii="宋体" w:hAnsi="宋体"/>
                <w:bCs/>
                <w:sz w:val="24"/>
              </w:rPr>
            </w:pPr>
          </w:p>
        </w:tc>
      </w:tr>
      <w:tr w14:paraId="663C3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exact"/>
        </w:trPr>
        <w:tc>
          <w:tcPr>
            <w:tcW w:w="782" w:type="dxa"/>
            <w:vMerge w:val="continue"/>
            <w:vAlign w:val="center"/>
          </w:tcPr>
          <w:p w14:paraId="272749A9">
            <w:pPr>
              <w:spacing w:line="360" w:lineRule="auto"/>
              <w:jc w:val="center"/>
              <w:rPr>
                <w:rFonts w:ascii="宋体" w:hAnsi="宋体" w:cs="宋体"/>
                <w:bCs/>
                <w:sz w:val="24"/>
              </w:rPr>
            </w:pPr>
          </w:p>
        </w:tc>
        <w:tc>
          <w:tcPr>
            <w:tcW w:w="1200" w:type="dxa"/>
            <w:vMerge w:val="continue"/>
            <w:vAlign w:val="center"/>
          </w:tcPr>
          <w:p w14:paraId="286B2952">
            <w:pPr>
              <w:adjustRightInd w:val="0"/>
              <w:snapToGrid w:val="0"/>
              <w:jc w:val="center"/>
              <w:rPr>
                <w:rFonts w:ascii="宋体" w:hAnsi="宋体"/>
                <w:bCs/>
                <w:sz w:val="24"/>
              </w:rPr>
            </w:pPr>
          </w:p>
        </w:tc>
        <w:tc>
          <w:tcPr>
            <w:tcW w:w="4108" w:type="dxa"/>
            <w:vAlign w:val="center"/>
          </w:tcPr>
          <w:p w14:paraId="09ED477B">
            <w:pPr>
              <w:spacing w:line="360" w:lineRule="auto"/>
              <w:jc w:val="center"/>
              <w:rPr>
                <w:rFonts w:ascii="宋体" w:hAnsi="宋体" w:cs="宋体"/>
                <w:bCs/>
                <w:sz w:val="24"/>
              </w:rPr>
            </w:pPr>
            <w:r>
              <w:rPr>
                <w:rFonts w:hint="eastAsia" w:ascii="宋体" w:hAnsi="宋体" w:cs="宋体"/>
                <w:bCs/>
                <w:sz w:val="24"/>
              </w:rPr>
              <w:t>国家三等、省一等</w:t>
            </w:r>
          </w:p>
        </w:tc>
        <w:tc>
          <w:tcPr>
            <w:tcW w:w="963" w:type="dxa"/>
          </w:tcPr>
          <w:p w14:paraId="084DACBA">
            <w:pPr>
              <w:spacing w:line="360" w:lineRule="auto"/>
              <w:jc w:val="center"/>
              <w:rPr>
                <w:rFonts w:ascii="宋体" w:hAnsi="宋体" w:cs="宋体"/>
                <w:bCs/>
                <w:sz w:val="24"/>
              </w:rPr>
            </w:pPr>
            <w:r>
              <w:rPr>
                <w:rFonts w:hint="eastAsia" w:ascii="宋体" w:hAnsi="宋体" w:cs="宋体"/>
                <w:bCs/>
                <w:sz w:val="24"/>
              </w:rPr>
              <w:t>25*0.2</w:t>
            </w:r>
          </w:p>
        </w:tc>
        <w:tc>
          <w:tcPr>
            <w:tcW w:w="1872" w:type="dxa"/>
            <w:vMerge w:val="continue"/>
            <w:vAlign w:val="center"/>
          </w:tcPr>
          <w:p w14:paraId="705D76A6">
            <w:pPr>
              <w:adjustRightInd w:val="0"/>
              <w:snapToGrid w:val="0"/>
              <w:jc w:val="center"/>
              <w:rPr>
                <w:rFonts w:ascii="宋体" w:hAnsi="宋体"/>
                <w:bCs/>
                <w:sz w:val="24"/>
              </w:rPr>
            </w:pPr>
          </w:p>
        </w:tc>
      </w:tr>
      <w:tr w14:paraId="58F2C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exact"/>
        </w:trPr>
        <w:tc>
          <w:tcPr>
            <w:tcW w:w="782" w:type="dxa"/>
            <w:vMerge w:val="continue"/>
            <w:vAlign w:val="center"/>
          </w:tcPr>
          <w:p w14:paraId="3CCE1BF1">
            <w:pPr>
              <w:spacing w:line="360" w:lineRule="auto"/>
              <w:jc w:val="center"/>
              <w:rPr>
                <w:rFonts w:ascii="宋体" w:hAnsi="宋体" w:cs="宋体"/>
                <w:bCs/>
                <w:sz w:val="24"/>
              </w:rPr>
            </w:pPr>
          </w:p>
        </w:tc>
        <w:tc>
          <w:tcPr>
            <w:tcW w:w="1200" w:type="dxa"/>
            <w:vMerge w:val="continue"/>
            <w:vAlign w:val="center"/>
          </w:tcPr>
          <w:p w14:paraId="37ED34E3">
            <w:pPr>
              <w:adjustRightInd w:val="0"/>
              <w:snapToGrid w:val="0"/>
              <w:jc w:val="center"/>
              <w:rPr>
                <w:rFonts w:ascii="宋体" w:hAnsi="宋体"/>
                <w:bCs/>
                <w:sz w:val="24"/>
              </w:rPr>
            </w:pPr>
          </w:p>
        </w:tc>
        <w:tc>
          <w:tcPr>
            <w:tcW w:w="4108" w:type="dxa"/>
            <w:vAlign w:val="center"/>
          </w:tcPr>
          <w:p w14:paraId="0CDC2D1C">
            <w:pPr>
              <w:spacing w:line="360" w:lineRule="auto"/>
              <w:jc w:val="center"/>
              <w:rPr>
                <w:rFonts w:ascii="宋体" w:hAnsi="宋体" w:cs="宋体"/>
                <w:bCs/>
                <w:sz w:val="24"/>
              </w:rPr>
            </w:pPr>
            <w:r>
              <w:rPr>
                <w:rFonts w:hint="eastAsia" w:ascii="宋体" w:hAnsi="宋体" w:cs="宋体"/>
                <w:bCs/>
                <w:sz w:val="24"/>
              </w:rPr>
              <w:t>国家优胜或鼓励奖、省二等</w:t>
            </w:r>
          </w:p>
        </w:tc>
        <w:tc>
          <w:tcPr>
            <w:tcW w:w="963" w:type="dxa"/>
          </w:tcPr>
          <w:p w14:paraId="4D2BBF09">
            <w:pPr>
              <w:spacing w:line="360" w:lineRule="auto"/>
              <w:jc w:val="center"/>
              <w:rPr>
                <w:rFonts w:ascii="宋体" w:hAnsi="宋体" w:cs="宋体"/>
                <w:bCs/>
                <w:sz w:val="24"/>
              </w:rPr>
            </w:pPr>
            <w:r>
              <w:rPr>
                <w:rFonts w:hint="eastAsia" w:ascii="宋体" w:hAnsi="宋体" w:cs="宋体"/>
                <w:bCs/>
                <w:sz w:val="24"/>
              </w:rPr>
              <w:t>20*0.2</w:t>
            </w:r>
          </w:p>
        </w:tc>
        <w:tc>
          <w:tcPr>
            <w:tcW w:w="1872" w:type="dxa"/>
            <w:vMerge w:val="continue"/>
            <w:vAlign w:val="center"/>
          </w:tcPr>
          <w:p w14:paraId="7604D5DA">
            <w:pPr>
              <w:adjustRightInd w:val="0"/>
              <w:snapToGrid w:val="0"/>
              <w:jc w:val="center"/>
              <w:rPr>
                <w:rFonts w:ascii="宋体" w:hAnsi="宋体"/>
                <w:bCs/>
                <w:sz w:val="24"/>
              </w:rPr>
            </w:pPr>
          </w:p>
        </w:tc>
      </w:tr>
      <w:tr w14:paraId="0A4E5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exact"/>
        </w:trPr>
        <w:tc>
          <w:tcPr>
            <w:tcW w:w="782" w:type="dxa"/>
            <w:vMerge w:val="continue"/>
            <w:vAlign w:val="center"/>
          </w:tcPr>
          <w:p w14:paraId="27550D2E">
            <w:pPr>
              <w:spacing w:line="360" w:lineRule="auto"/>
              <w:jc w:val="center"/>
              <w:rPr>
                <w:rFonts w:ascii="宋体" w:hAnsi="宋体" w:cs="宋体"/>
                <w:bCs/>
                <w:sz w:val="24"/>
              </w:rPr>
            </w:pPr>
          </w:p>
        </w:tc>
        <w:tc>
          <w:tcPr>
            <w:tcW w:w="1200" w:type="dxa"/>
            <w:vMerge w:val="continue"/>
            <w:vAlign w:val="center"/>
          </w:tcPr>
          <w:p w14:paraId="4DE5F144">
            <w:pPr>
              <w:adjustRightInd w:val="0"/>
              <w:snapToGrid w:val="0"/>
              <w:jc w:val="center"/>
              <w:rPr>
                <w:rFonts w:ascii="宋体" w:hAnsi="宋体"/>
                <w:bCs/>
                <w:sz w:val="24"/>
              </w:rPr>
            </w:pPr>
          </w:p>
        </w:tc>
        <w:tc>
          <w:tcPr>
            <w:tcW w:w="4108" w:type="dxa"/>
            <w:vAlign w:val="center"/>
          </w:tcPr>
          <w:p w14:paraId="55614DEC">
            <w:pPr>
              <w:spacing w:line="360" w:lineRule="auto"/>
              <w:jc w:val="center"/>
              <w:rPr>
                <w:rFonts w:ascii="宋体" w:hAnsi="宋体" w:cs="宋体"/>
                <w:bCs/>
                <w:sz w:val="24"/>
              </w:rPr>
            </w:pPr>
            <w:r>
              <w:rPr>
                <w:rFonts w:hint="eastAsia" w:ascii="宋体" w:hAnsi="宋体" w:cs="宋体"/>
                <w:bCs/>
                <w:sz w:val="24"/>
              </w:rPr>
              <w:t>省三等</w:t>
            </w:r>
          </w:p>
        </w:tc>
        <w:tc>
          <w:tcPr>
            <w:tcW w:w="963" w:type="dxa"/>
          </w:tcPr>
          <w:p w14:paraId="088ECE1D">
            <w:pPr>
              <w:spacing w:line="360" w:lineRule="auto"/>
              <w:jc w:val="center"/>
              <w:rPr>
                <w:rFonts w:ascii="宋体" w:hAnsi="宋体" w:cs="宋体"/>
                <w:bCs/>
                <w:sz w:val="24"/>
              </w:rPr>
            </w:pPr>
            <w:r>
              <w:rPr>
                <w:rFonts w:hint="eastAsia" w:ascii="宋体" w:hAnsi="宋体" w:cs="宋体"/>
                <w:bCs/>
                <w:sz w:val="24"/>
              </w:rPr>
              <w:t>15*0.2</w:t>
            </w:r>
          </w:p>
        </w:tc>
        <w:tc>
          <w:tcPr>
            <w:tcW w:w="1872" w:type="dxa"/>
            <w:vMerge w:val="continue"/>
            <w:vAlign w:val="center"/>
          </w:tcPr>
          <w:p w14:paraId="204CDC9A">
            <w:pPr>
              <w:adjustRightInd w:val="0"/>
              <w:snapToGrid w:val="0"/>
              <w:jc w:val="center"/>
              <w:rPr>
                <w:rFonts w:ascii="宋体" w:hAnsi="宋体"/>
                <w:bCs/>
                <w:sz w:val="24"/>
              </w:rPr>
            </w:pPr>
          </w:p>
        </w:tc>
      </w:tr>
      <w:tr w14:paraId="0A103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7" w:hRule="exact"/>
        </w:trPr>
        <w:tc>
          <w:tcPr>
            <w:tcW w:w="782" w:type="dxa"/>
            <w:vAlign w:val="center"/>
          </w:tcPr>
          <w:p w14:paraId="75B5D78C">
            <w:pPr>
              <w:spacing w:line="360" w:lineRule="auto"/>
              <w:jc w:val="left"/>
              <w:rPr>
                <w:rFonts w:ascii="宋体" w:hAnsi="宋体" w:cs="宋体"/>
                <w:bCs/>
                <w:sz w:val="24"/>
              </w:rPr>
            </w:pPr>
            <w:r>
              <w:rPr>
                <w:rFonts w:hint="eastAsia" w:ascii="宋体" w:hAnsi="宋体" w:cs="宋体"/>
                <w:bCs/>
                <w:sz w:val="24"/>
              </w:rPr>
              <w:t>备注</w:t>
            </w:r>
          </w:p>
        </w:tc>
        <w:tc>
          <w:tcPr>
            <w:tcW w:w="8143" w:type="dxa"/>
            <w:gridSpan w:val="4"/>
            <w:vAlign w:val="center"/>
          </w:tcPr>
          <w:p w14:paraId="4138C7B7">
            <w:pPr>
              <w:adjustRightInd w:val="0"/>
              <w:snapToGrid w:val="0"/>
              <w:jc w:val="left"/>
              <w:rPr>
                <w:rFonts w:ascii="宋体" w:hAnsi="宋体"/>
                <w:bCs/>
                <w:sz w:val="24"/>
              </w:rPr>
            </w:pPr>
            <w:r>
              <w:rPr>
                <w:rFonts w:hint="eastAsia" w:ascii="宋体" w:hAnsi="宋体"/>
                <w:bCs/>
                <w:sz w:val="24"/>
              </w:rPr>
              <w:t>1</w:t>
            </w:r>
            <w:r>
              <w:rPr>
                <w:rFonts w:ascii="宋体" w:hAnsi="宋体"/>
                <w:bCs/>
                <w:sz w:val="24"/>
              </w:rPr>
              <w:t>.</w:t>
            </w:r>
            <w:r>
              <w:rPr>
                <w:rFonts w:hint="eastAsia" w:ascii="宋体" w:hAnsi="宋体"/>
                <w:bCs/>
                <w:sz w:val="24"/>
              </w:rPr>
              <w:t>学科竞赛项目等级评定依据校学科竞赛管理办法等相关文件（数学类国际奖项参照国家级）。</w:t>
            </w:r>
          </w:p>
          <w:p w14:paraId="5ED50E20">
            <w:pPr>
              <w:spacing w:line="360" w:lineRule="auto"/>
              <w:jc w:val="left"/>
              <w:rPr>
                <w:rFonts w:ascii="宋体" w:hAnsi="宋体" w:cs="宋体"/>
                <w:bCs/>
                <w:sz w:val="24"/>
              </w:rPr>
            </w:pPr>
            <w:r>
              <w:rPr>
                <w:rFonts w:hint="eastAsia" w:ascii="宋体" w:hAnsi="宋体" w:cs="宋体"/>
                <w:bCs/>
                <w:sz w:val="24"/>
              </w:rPr>
              <w:t>2.参加同一学科竞赛以最高级加分，不累计加分。</w:t>
            </w:r>
          </w:p>
          <w:p w14:paraId="0CB96CD5">
            <w:pPr>
              <w:spacing w:line="360" w:lineRule="auto"/>
              <w:jc w:val="left"/>
              <w:rPr>
                <w:rFonts w:ascii="宋体" w:hAnsi="宋体" w:cs="宋体"/>
                <w:bCs/>
                <w:sz w:val="24"/>
              </w:rPr>
            </w:pPr>
            <w:r>
              <w:rPr>
                <w:rFonts w:hint="eastAsia" w:ascii="宋体" w:hAnsi="宋体" w:cs="宋体"/>
                <w:bCs/>
                <w:sz w:val="24"/>
              </w:rPr>
              <w:t>3.其他竞赛包括：全国大学生数学竞赛；浙江省大学生高等数学（微积分）竞赛；“泰迪杯”数据挖掘挑战赛；长三角高校数学建模竞赛。</w:t>
            </w:r>
          </w:p>
          <w:p w14:paraId="62050B60">
            <w:pPr>
              <w:spacing w:line="360" w:lineRule="auto"/>
              <w:jc w:val="left"/>
              <w:rPr>
                <w:rFonts w:ascii="宋体" w:hAnsi="宋体" w:cs="宋体"/>
                <w:bCs/>
                <w:sz w:val="24"/>
              </w:rPr>
            </w:pPr>
            <w:r>
              <w:rPr>
                <w:rFonts w:hint="eastAsia" w:ascii="宋体" w:hAnsi="宋体" w:cs="宋体"/>
                <w:bCs/>
                <w:sz w:val="24"/>
              </w:rPr>
              <w:t>全国大学生统计建模大赛参照二类竞赛加分标准。</w:t>
            </w:r>
          </w:p>
        </w:tc>
      </w:tr>
    </w:tbl>
    <w:p w14:paraId="00F2011E">
      <w:pPr>
        <w:adjustRightInd w:val="0"/>
        <w:snapToGrid w:val="0"/>
        <w:spacing w:line="560" w:lineRule="exact"/>
        <w:ind w:firstLine="640" w:firstLineChars="200"/>
        <w:rPr>
          <w:rFonts w:ascii="仿宋" w:hAnsi="仿宋" w:eastAsia="仿宋" w:cs="仿宋"/>
          <w:sz w:val="32"/>
          <w:szCs w:val="32"/>
        </w:rPr>
      </w:pPr>
    </w:p>
    <w:p w14:paraId="3FA85D1E">
      <w:pPr>
        <w:adjustRightInd w:val="0"/>
        <w:snapToGrid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2、专利项目</w:t>
      </w:r>
    </w:p>
    <w:p w14:paraId="3955D8DD">
      <w:pPr>
        <w:adjustRightInd w:val="0"/>
        <w:snapToGrid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获国家授权的发明专利，每项得30分；获国家授权的外观专利、实用新型专利，每项得20分；获软件著作权，每项得10分（限2项）。</w:t>
      </w:r>
    </w:p>
    <w:p w14:paraId="58224123">
      <w:pPr>
        <w:adjustRightInd w:val="0"/>
        <w:snapToGrid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备注：以独立作者身份发表的得满分，2人的得分比例为6:4；3人的得分比例为5:3:2；4人的得分比例为4:3:2:1；5人及以上的得分比例为4:3:2:1:1，其中第5人及以后的同学加分比例为1。教师作者不参与排序，不影响学生加分。</w:t>
      </w:r>
    </w:p>
    <w:p w14:paraId="3DAAF695">
      <w:pPr>
        <w:adjustRightInd w:val="0"/>
        <w:snapToGrid w:val="0"/>
        <w:spacing w:line="560" w:lineRule="exact"/>
        <w:ind w:firstLine="640" w:firstLineChars="200"/>
        <w:rPr>
          <w:rFonts w:ascii="仿宋" w:hAnsi="仿宋" w:eastAsia="仿宋" w:cs="仿宋"/>
          <w:sz w:val="32"/>
          <w:szCs w:val="32"/>
        </w:rPr>
      </w:pPr>
    </w:p>
    <w:p w14:paraId="394BAB7C">
      <w:pPr>
        <w:adjustRightInd w:val="0"/>
        <w:snapToGrid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3、发表论文</w:t>
      </w:r>
    </w:p>
    <w:tbl>
      <w:tblPr>
        <w:tblStyle w:val="5"/>
        <w:tblW w:w="8222"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5528"/>
        <w:gridCol w:w="1843"/>
      </w:tblGrid>
      <w:tr w14:paraId="1D7E2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1BE33C88">
            <w:pPr>
              <w:spacing w:line="360" w:lineRule="auto"/>
              <w:jc w:val="center"/>
              <w:rPr>
                <w:rFonts w:ascii="宋体" w:hAnsi="宋体" w:cs="宋体"/>
                <w:b/>
                <w:sz w:val="24"/>
              </w:rPr>
            </w:pPr>
            <w:r>
              <w:rPr>
                <w:rFonts w:hint="eastAsia" w:ascii="宋体" w:hAnsi="宋体" w:cs="宋体"/>
                <w:b/>
                <w:sz w:val="24"/>
              </w:rPr>
              <w:t>类别</w:t>
            </w:r>
          </w:p>
        </w:tc>
        <w:tc>
          <w:tcPr>
            <w:tcW w:w="5528" w:type="dxa"/>
          </w:tcPr>
          <w:p w14:paraId="245F73EF">
            <w:pPr>
              <w:spacing w:line="360" w:lineRule="auto"/>
              <w:jc w:val="center"/>
              <w:rPr>
                <w:rFonts w:ascii="宋体" w:hAnsi="宋体" w:cs="宋体"/>
                <w:b/>
                <w:sz w:val="24"/>
              </w:rPr>
            </w:pPr>
            <w:r>
              <w:rPr>
                <w:rFonts w:hint="eastAsia" w:ascii="宋体" w:hAnsi="宋体" w:cs="宋体"/>
                <w:b/>
                <w:sz w:val="24"/>
              </w:rPr>
              <w:t>获奖名称和等级</w:t>
            </w:r>
          </w:p>
        </w:tc>
        <w:tc>
          <w:tcPr>
            <w:tcW w:w="1843" w:type="dxa"/>
          </w:tcPr>
          <w:p w14:paraId="56A080F0">
            <w:pPr>
              <w:spacing w:line="360" w:lineRule="auto"/>
              <w:jc w:val="center"/>
              <w:rPr>
                <w:rFonts w:ascii="宋体" w:hAnsi="宋体" w:cs="宋体"/>
                <w:b/>
                <w:sz w:val="24"/>
              </w:rPr>
            </w:pPr>
            <w:r>
              <w:rPr>
                <w:rFonts w:hint="eastAsia" w:ascii="宋体" w:hAnsi="宋体" w:cs="宋体"/>
                <w:b/>
                <w:sz w:val="24"/>
              </w:rPr>
              <w:t>加分</w:t>
            </w:r>
          </w:p>
        </w:tc>
      </w:tr>
      <w:tr w14:paraId="21064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restart"/>
            <w:vAlign w:val="center"/>
          </w:tcPr>
          <w:p w14:paraId="1D44DB9A">
            <w:pPr>
              <w:spacing w:line="360" w:lineRule="auto"/>
              <w:jc w:val="center"/>
              <w:rPr>
                <w:rFonts w:ascii="宋体" w:hAnsi="宋体" w:cs="宋体"/>
                <w:sz w:val="24"/>
              </w:rPr>
            </w:pPr>
            <w:r>
              <w:rPr>
                <w:rFonts w:hint="eastAsia" w:ascii="宋体" w:hAnsi="宋体" w:cs="宋体"/>
                <w:sz w:val="24"/>
              </w:rPr>
              <w:t>论文</w:t>
            </w:r>
          </w:p>
        </w:tc>
        <w:tc>
          <w:tcPr>
            <w:tcW w:w="5528" w:type="dxa"/>
            <w:vAlign w:val="center"/>
          </w:tcPr>
          <w:p w14:paraId="6E2E03BB">
            <w:pPr>
              <w:jc w:val="center"/>
              <w:rPr>
                <w:rFonts w:ascii="宋体" w:hAnsi="宋体" w:cs="宋体"/>
                <w:sz w:val="24"/>
              </w:rPr>
            </w:pPr>
            <w:r>
              <w:rPr>
                <w:rFonts w:hint="eastAsia" w:ascii="宋体" w:hAnsi="宋体" w:cs="宋体"/>
                <w:sz w:val="24"/>
              </w:rPr>
              <w:t>SCI（科学引文索引）、EI（工程索引）、SSCI（社会科学引文索引）等检索</w:t>
            </w:r>
          </w:p>
        </w:tc>
        <w:tc>
          <w:tcPr>
            <w:tcW w:w="1843" w:type="dxa"/>
            <w:vAlign w:val="center"/>
          </w:tcPr>
          <w:p w14:paraId="02724056">
            <w:pPr>
              <w:jc w:val="center"/>
              <w:rPr>
                <w:rFonts w:ascii="宋体" w:hAnsi="宋体" w:cs="宋体"/>
                <w:sz w:val="24"/>
              </w:rPr>
            </w:pPr>
            <w:r>
              <w:rPr>
                <w:rFonts w:ascii="宋体" w:hAnsi="宋体" w:cs="宋体"/>
                <w:sz w:val="24"/>
              </w:rPr>
              <w:t>5</w:t>
            </w:r>
            <w:r>
              <w:rPr>
                <w:rFonts w:hint="eastAsia" w:ascii="宋体" w:hAnsi="宋体" w:cs="宋体"/>
                <w:sz w:val="24"/>
              </w:rPr>
              <w:t>0</w:t>
            </w:r>
          </w:p>
        </w:tc>
      </w:tr>
      <w:tr w14:paraId="28C66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851" w:type="dxa"/>
            <w:vMerge w:val="continue"/>
            <w:vAlign w:val="center"/>
          </w:tcPr>
          <w:p w14:paraId="02661809">
            <w:pPr>
              <w:spacing w:line="360" w:lineRule="auto"/>
              <w:jc w:val="center"/>
              <w:rPr>
                <w:rFonts w:ascii="宋体" w:hAnsi="宋体" w:cs="宋体"/>
                <w:sz w:val="24"/>
              </w:rPr>
            </w:pPr>
          </w:p>
        </w:tc>
        <w:tc>
          <w:tcPr>
            <w:tcW w:w="5528" w:type="dxa"/>
            <w:vAlign w:val="center"/>
          </w:tcPr>
          <w:p w14:paraId="008CFBDC">
            <w:pPr>
              <w:jc w:val="center"/>
              <w:rPr>
                <w:rFonts w:ascii="宋体" w:hAnsi="宋体" w:cs="宋体"/>
                <w:sz w:val="24"/>
              </w:rPr>
            </w:pPr>
            <w:r>
              <w:rPr>
                <w:rFonts w:hint="eastAsia" w:ascii="宋体" w:hAnsi="宋体" w:cs="宋体"/>
                <w:sz w:val="24"/>
              </w:rPr>
              <w:t>一级核心学术期刊</w:t>
            </w:r>
          </w:p>
        </w:tc>
        <w:tc>
          <w:tcPr>
            <w:tcW w:w="1843" w:type="dxa"/>
            <w:vAlign w:val="center"/>
          </w:tcPr>
          <w:p w14:paraId="1896DCE4">
            <w:pPr>
              <w:jc w:val="center"/>
              <w:rPr>
                <w:rFonts w:ascii="宋体" w:hAnsi="宋体" w:cs="宋体"/>
                <w:sz w:val="24"/>
              </w:rPr>
            </w:pPr>
            <w:r>
              <w:rPr>
                <w:rFonts w:ascii="宋体" w:hAnsi="宋体" w:cs="宋体"/>
                <w:sz w:val="24"/>
              </w:rPr>
              <w:t>5</w:t>
            </w:r>
            <w:r>
              <w:rPr>
                <w:rFonts w:hint="eastAsia" w:ascii="宋体" w:hAnsi="宋体" w:cs="宋体"/>
                <w:sz w:val="24"/>
              </w:rPr>
              <w:t>0</w:t>
            </w:r>
          </w:p>
        </w:tc>
      </w:tr>
      <w:tr w14:paraId="3454F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851" w:type="dxa"/>
            <w:vMerge w:val="continue"/>
            <w:vAlign w:val="center"/>
          </w:tcPr>
          <w:p w14:paraId="17690FB5">
            <w:pPr>
              <w:spacing w:line="360" w:lineRule="auto"/>
              <w:jc w:val="center"/>
              <w:rPr>
                <w:rFonts w:ascii="宋体" w:hAnsi="宋体" w:cs="宋体"/>
                <w:sz w:val="24"/>
              </w:rPr>
            </w:pPr>
          </w:p>
        </w:tc>
        <w:tc>
          <w:tcPr>
            <w:tcW w:w="5528" w:type="dxa"/>
            <w:vAlign w:val="center"/>
          </w:tcPr>
          <w:p w14:paraId="1E433CBA">
            <w:pPr>
              <w:jc w:val="center"/>
              <w:rPr>
                <w:rFonts w:ascii="宋体" w:hAnsi="宋体" w:cs="宋体"/>
                <w:sz w:val="24"/>
              </w:rPr>
            </w:pPr>
            <w:r>
              <w:rPr>
                <w:rFonts w:hint="eastAsia" w:ascii="宋体" w:hAnsi="宋体" w:cs="宋体"/>
                <w:sz w:val="24"/>
              </w:rPr>
              <w:t>二级核心学术期刊</w:t>
            </w:r>
          </w:p>
        </w:tc>
        <w:tc>
          <w:tcPr>
            <w:tcW w:w="1843" w:type="dxa"/>
            <w:vAlign w:val="center"/>
          </w:tcPr>
          <w:p w14:paraId="2279107B">
            <w:pPr>
              <w:jc w:val="center"/>
              <w:rPr>
                <w:rFonts w:ascii="宋体" w:hAnsi="宋体" w:cs="宋体"/>
                <w:sz w:val="24"/>
              </w:rPr>
            </w:pPr>
            <w:r>
              <w:rPr>
                <w:rFonts w:ascii="宋体" w:hAnsi="宋体" w:cs="宋体"/>
                <w:sz w:val="24"/>
              </w:rPr>
              <w:t>30</w:t>
            </w:r>
          </w:p>
        </w:tc>
      </w:tr>
      <w:tr w14:paraId="2F7F6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851" w:type="dxa"/>
            <w:vMerge w:val="continue"/>
            <w:vAlign w:val="center"/>
          </w:tcPr>
          <w:p w14:paraId="0CF92FA3">
            <w:pPr>
              <w:spacing w:line="360" w:lineRule="auto"/>
              <w:jc w:val="center"/>
              <w:rPr>
                <w:rFonts w:ascii="宋体" w:hAnsi="宋体" w:cs="宋体"/>
                <w:sz w:val="24"/>
              </w:rPr>
            </w:pPr>
          </w:p>
        </w:tc>
        <w:tc>
          <w:tcPr>
            <w:tcW w:w="5528" w:type="dxa"/>
            <w:vAlign w:val="center"/>
          </w:tcPr>
          <w:p w14:paraId="5B338A52">
            <w:pPr>
              <w:jc w:val="center"/>
              <w:rPr>
                <w:rFonts w:ascii="宋体" w:hAnsi="宋体" w:cs="宋体"/>
                <w:sz w:val="24"/>
              </w:rPr>
            </w:pPr>
            <w:r>
              <w:rPr>
                <w:rFonts w:hint="eastAsia" w:ascii="宋体" w:hAnsi="宋体" w:cs="宋体"/>
                <w:sz w:val="24"/>
              </w:rPr>
              <w:t>国外学术期刊、大学学报、非大学学报一般学术期刊、国内有刊号的学术会议论文集</w:t>
            </w:r>
          </w:p>
        </w:tc>
        <w:tc>
          <w:tcPr>
            <w:tcW w:w="1843" w:type="dxa"/>
            <w:vAlign w:val="center"/>
          </w:tcPr>
          <w:p w14:paraId="0C9D82A9">
            <w:pPr>
              <w:jc w:val="center"/>
              <w:rPr>
                <w:rFonts w:ascii="宋体" w:hAnsi="宋体" w:cs="宋体"/>
                <w:sz w:val="24"/>
              </w:rPr>
            </w:pPr>
            <w:r>
              <w:rPr>
                <w:rFonts w:hint="eastAsia" w:ascii="宋体" w:hAnsi="宋体" w:cs="宋体"/>
                <w:sz w:val="24"/>
              </w:rPr>
              <w:t>10（限2篇）</w:t>
            </w:r>
          </w:p>
        </w:tc>
      </w:tr>
      <w:tr w14:paraId="6EAB2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0C669701">
            <w:pPr>
              <w:spacing w:line="360" w:lineRule="auto"/>
              <w:jc w:val="center"/>
              <w:rPr>
                <w:rFonts w:ascii="宋体" w:hAnsi="宋体" w:cs="宋体"/>
                <w:bCs/>
                <w:sz w:val="24"/>
              </w:rPr>
            </w:pPr>
            <w:r>
              <w:rPr>
                <w:rFonts w:hint="eastAsia" w:ascii="宋体" w:hAnsi="宋体" w:cs="宋体"/>
                <w:bCs/>
                <w:sz w:val="24"/>
              </w:rPr>
              <w:t>备注</w:t>
            </w:r>
          </w:p>
        </w:tc>
        <w:tc>
          <w:tcPr>
            <w:tcW w:w="7371" w:type="dxa"/>
            <w:gridSpan w:val="2"/>
            <w:vAlign w:val="center"/>
          </w:tcPr>
          <w:p w14:paraId="457F9612">
            <w:pPr>
              <w:spacing w:line="360" w:lineRule="auto"/>
              <w:jc w:val="left"/>
              <w:rPr>
                <w:rFonts w:ascii="宋体" w:hAnsi="宋体" w:cs="宋体"/>
                <w:bCs/>
                <w:sz w:val="24"/>
              </w:rPr>
            </w:pPr>
            <w:r>
              <w:rPr>
                <w:rFonts w:hint="eastAsia" w:ascii="宋体" w:hAnsi="宋体" w:cs="宋体"/>
                <w:bCs/>
                <w:sz w:val="24"/>
              </w:rPr>
              <w:t>1.</w:t>
            </w:r>
            <w:r>
              <w:rPr>
                <w:rFonts w:hint="eastAsia"/>
              </w:rPr>
              <w:t xml:space="preserve"> </w:t>
            </w:r>
            <w:r>
              <w:rPr>
                <w:rFonts w:hint="eastAsia" w:ascii="宋体" w:hAnsi="宋体" w:cs="宋体"/>
                <w:bCs/>
                <w:sz w:val="24"/>
              </w:rPr>
              <w:t>以独立作者身份发表的得满分，2人的得分比例为6:4；3人的得分比例为5:3:2；4人的得分比例为4:3:2:1；5人及以上的得分比例为4:3:2:1:1，其中第5人及以后的同学加分比例为1。教师作者不参与排序，不影响学生加分。</w:t>
            </w:r>
          </w:p>
          <w:p w14:paraId="16600B40">
            <w:pPr>
              <w:spacing w:line="360" w:lineRule="auto"/>
              <w:jc w:val="left"/>
              <w:rPr>
                <w:rFonts w:ascii="宋体" w:hAnsi="宋体" w:cs="宋体"/>
                <w:sz w:val="24"/>
              </w:rPr>
            </w:pPr>
            <w:r>
              <w:rPr>
                <w:rFonts w:hint="eastAsia" w:ascii="宋体" w:hAnsi="宋体" w:cs="宋体"/>
                <w:bCs/>
                <w:sz w:val="24"/>
              </w:rPr>
              <w:t>2.刊物级别依据学校规定，评定且需在当学年见刊，未发表（只有录用通知）作品不计分。</w:t>
            </w:r>
          </w:p>
        </w:tc>
      </w:tr>
    </w:tbl>
    <w:p w14:paraId="0E93B57B">
      <w:pPr>
        <w:adjustRightInd w:val="0"/>
        <w:snapToGrid w:val="0"/>
        <w:spacing w:line="560" w:lineRule="exact"/>
        <w:ind w:firstLine="640" w:firstLineChars="200"/>
        <w:rPr>
          <w:rFonts w:ascii="仿宋" w:hAnsi="仿宋" w:eastAsia="仿宋" w:cs="仿宋"/>
          <w:sz w:val="32"/>
          <w:szCs w:val="32"/>
        </w:rPr>
      </w:pPr>
    </w:p>
    <w:p w14:paraId="219CA7A3">
      <w:pPr>
        <w:adjustRightInd w:val="0"/>
        <w:snapToGrid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4、科创项目</w:t>
      </w:r>
    </w:p>
    <w:p w14:paraId="7020B7E6">
      <w:pPr>
        <w:adjustRightInd w:val="0"/>
        <w:snapToGrid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积极参加希望杯、新苗人才项目、本创、国创、星光、困难生资助项目等大学生课外科技学术作品竞赛和大学生创新创业项目，在当学年成功立项的，校级项目8分，省级项目15分，国家级项目25分（限项目负责人及排名前三位的参与人，2人的得分比例为6:4；3人的得分比例为5:3:2；4人的得分比例为4:3:2:1，同一项目就高加分一次，不重复加分；困难生资助项目减半加分）</w:t>
      </w:r>
    </w:p>
    <w:p w14:paraId="161C9D6A">
      <w:pPr>
        <w:adjustRightInd w:val="0"/>
        <w:snapToGrid w:val="0"/>
        <w:spacing w:line="560" w:lineRule="exact"/>
        <w:ind w:firstLine="640" w:firstLineChars="200"/>
        <w:rPr>
          <w:rFonts w:ascii="仿宋" w:hAnsi="仿宋" w:eastAsia="仿宋" w:cs="仿宋"/>
          <w:sz w:val="32"/>
          <w:szCs w:val="32"/>
        </w:rPr>
      </w:pPr>
    </w:p>
    <w:p w14:paraId="09002DA5">
      <w:pPr>
        <w:adjustRightInd w:val="0"/>
        <w:snapToGrid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（三）发展素质</w:t>
      </w:r>
    </w:p>
    <w:p w14:paraId="41C4A36F">
      <w:pPr>
        <w:adjustRightInd w:val="0"/>
        <w:snapToGrid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1、积极参加社会实践活动、志愿服务活动，被评为校级及以上先进个人，国家级10分，省级6分，市级5分，校级4分；集体项目减半加分。</w:t>
      </w:r>
    </w:p>
    <w:p w14:paraId="7F6ABADA">
      <w:pPr>
        <w:adjustRightInd w:val="0"/>
        <w:snapToGrid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2、获“十佳大学生”、“自强之星”、“大学生年度人物”、优秀党员、三好学生、优秀学生干部、优秀团干部、优秀团员等荣誉称号，国家级20分，省级12分，市级10分，校级8分。</w:t>
      </w:r>
    </w:p>
    <w:p w14:paraId="608946F8">
      <w:pPr>
        <w:adjustRightInd w:val="0"/>
        <w:snapToGrid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3、参加校级各类体育竞赛、校运动会或代表学校参加体育竞赛取得名次的，校级第一名10分，第二名8分，第三名6分，第四名5分，第五名4分，第六名3分，第七名2分，第八名1分；破校记录双倍加分；市级、省级、国家级、国际分别按校级1.5倍、2倍、3倍计分；集体项目减半加分。</w:t>
      </w:r>
      <w:bookmarkStart w:id="0" w:name="_GoBack"/>
      <w:bookmarkEnd w:id="0"/>
    </w:p>
    <w:p w14:paraId="363FA066">
      <w:pPr>
        <w:adjustRightInd w:val="0"/>
        <w:snapToGrid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4、参加校级以上文艺竞赛，获得校级第一名得4分，第二、第三名得3分，第四、第五、第六名得2分，第七、第八名得1分。市级、省级、国家级获奖分别按校级1.5倍、2倍、3倍计分；集体项目减半加分。</w:t>
      </w:r>
    </w:p>
    <w:p w14:paraId="441BC7C7">
      <w:pPr>
        <w:adjustRightInd w:val="0"/>
        <w:snapToGrid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5、有自强不息、见义勇为等特殊事迹或有突出事迹和表现受到学校或其他形式的表彰，国家级12分、省市级8分，校级5分</w:t>
      </w:r>
    </w:p>
    <w:p w14:paraId="1261DA46">
      <w:pPr>
        <w:adjustRightInd w:val="0"/>
        <w:snapToGrid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备注：同一荣誉以最高级加分，不累计加分。</w:t>
      </w:r>
    </w:p>
    <w:p w14:paraId="7D0052A2">
      <w:pPr>
        <w:adjustRightInd w:val="0"/>
        <w:snapToGrid w:val="0"/>
        <w:spacing w:line="560" w:lineRule="exact"/>
        <w:ind w:firstLine="640" w:firstLineChars="200"/>
        <w:rPr>
          <w:rFonts w:ascii="仿宋" w:hAnsi="仿宋" w:eastAsia="仿宋" w:cs="仿宋"/>
          <w:sz w:val="32"/>
          <w:szCs w:val="32"/>
        </w:rPr>
      </w:pPr>
    </w:p>
    <w:p w14:paraId="095E07C0">
      <w:pPr>
        <w:adjustRightInd w:val="0"/>
        <w:snapToGrid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注：</w:t>
      </w:r>
    </w:p>
    <w:p w14:paraId="62B4E139">
      <w:pPr>
        <w:adjustRightInd w:val="0"/>
        <w:snapToGrid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1、所有学科竞赛、科创项目、其他获奖均只限结果公布当学年。</w:t>
      </w:r>
    </w:p>
    <w:p w14:paraId="4DED7247">
      <w:pPr>
        <w:adjustRightInd w:val="0"/>
        <w:snapToGrid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2、加分统计时段以相应评选通知有关学年、自然年为标准，并需提供佐证材料，无佐证材料一律不得加分。</w:t>
      </w:r>
    </w:p>
    <w:p w14:paraId="5021C4D0">
      <w:pPr>
        <w:adjustRightInd w:val="0"/>
        <w:snapToGrid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3、省政府奖学金评选名额由学校分配到学院，学院学生综合素质评价领导小组按各年级比例确定推荐人选。</w:t>
      </w:r>
    </w:p>
    <w:p w14:paraId="358C3F8C">
      <w:pPr>
        <w:adjustRightInd w:val="0"/>
        <w:snapToGrid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4、同一学年内，省政府奖学金不能与国家奖学金、国家励志奖学金和其他外设奖学金兼得。</w:t>
      </w:r>
    </w:p>
    <w:p w14:paraId="667F66C1">
      <w:pPr>
        <w:adjustRightInd w:val="0"/>
        <w:snapToGrid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5、本条例若与上级评选条例冲突，以上级评选条例为准。</w:t>
      </w:r>
    </w:p>
    <w:p w14:paraId="13EA3E65">
      <w:pPr>
        <w:adjustRightInd w:val="0"/>
        <w:snapToGrid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6、本实施细则归数学学院学生综合素质评价领导小组负责解释。</w:t>
      </w:r>
    </w:p>
    <w:p w14:paraId="2F801320">
      <w:pPr>
        <w:adjustRightInd w:val="0"/>
        <w:snapToGrid w:val="0"/>
        <w:spacing w:line="560" w:lineRule="exact"/>
        <w:ind w:firstLine="640" w:firstLineChars="200"/>
        <w:rPr>
          <w:rFonts w:ascii="仿宋" w:hAnsi="仿宋" w:eastAsia="仿宋" w:cs="仿宋"/>
          <w:sz w:val="32"/>
          <w:szCs w:val="32"/>
        </w:rPr>
      </w:pPr>
    </w:p>
    <w:p w14:paraId="05F085EC">
      <w:pPr>
        <w:adjustRightInd w:val="0"/>
        <w:snapToGrid w:val="0"/>
        <w:spacing w:line="560" w:lineRule="exact"/>
        <w:ind w:firstLine="640" w:firstLineChars="200"/>
        <w:jc w:val="right"/>
        <w:rPr>
          <w:rFonts w:ascii="仿宋" w:hAnsi="仿宋" w:eastAsia="仿宋" w:cs="仿宋"/>
          <w:sz w:val="32"/>
          <w:szCs w:val="32"/>
        </w:rPr>
      </w:pPr>
      <w:r>
        <w:rPr>
          <w:rFonts w:hint="eastAsia" w:ascii="仿宋" w:hAnsi="仿宋" w:eastAsia="仿宋" w:cs="仿宋"/>
          <w:sz w:val="32"/>
          <w:szCs w:val="32"/>
        </w:rPr>
        <w:t>数学学院学生工作办公室</w:t>
      </w:r>
    </w:p>
    <w:p w14:paraId="6A9211D1">
      <w:pPr>
        <w:adjustRightInd w:val="0"/>
        <w:snapToGrid w:val="0"/>
        <w:spacing w:line="560" w:lineRule="exact"/>
        <w:ind w:firstLine="640" w:firstLineChars="200"/>
        <w:jc w:val="right"/>
        <w:rPr>
          <w:rFonts w:ascii="仿宋" w:hAnsi="仿宋" w:eastAsia="仿宋" w:cs="仿宋"/>
          <w:sz w:val="32"/>
          <w:szCs w:val="32"/>
        </w:rPr>
      </w:pPr>
      <w:r>
        <w:rPr>
          <w:rFonts w:hint="eastAsia" w:ascii="仿宋" w:hAnsi="仿宋" w:eastAsia="仿宋" w:cs="仿宋"/>
          <w:sz w:val="32"/>
          <w:szCs w:val="32"/>
        </w:rPr>
        <w:t>2023年3月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YzZGQ1OGU4NjBhNWU1OGY2MmU1Zjk5NjgxMzU2MGUifQ=="/>
  </w:docVars>
  <w:rsids>
    <w:rsidRoot w:val="00CC4668"/>
    <w:rsid w:val="00060A9E"/>
    <w:rsid w:val="00065800"/>
    <w:rsid w:val="00096831"/>
    <w:rsid w:val="000C0432"/>
    <w:rsid w:val="000C470C"/>
    <w:rsid w:val="000D1019"/>
    <w:rsid w:val="0010003B"/>
    <w:rsid w:val="00127D31"/>
    <w:rsid w:val="00152139"/>
    <w:rsid w:val="0016547E"/>
    <w:rsid w:val="001913CF"/>
    <w:rsid w:val="001B0BD5"/>
    <w:rsid w:val="001B48D0"/>
    <w:rsid w:val="001D3697"/>
    <w:rsid w:val="001E28DD"/>
    <w:rsid w:val="002172DE"/>
    <w:rsid w:val="00226CEA"/>
    <w:rsid w:val="002703F9"/>
    <w:rsid w:val="002B3C5E"/>
    <w:rsid w:val="002C4BD0"/>
    <w:rsid w:val="002E0266"/>
    <w:rsid w:val="00327080"/>
    <w:rsid w:val="0036138F"/>
    <w:rsid w:val="003662EC"/>
    <w:rsid w:val="003676DD"/>
    <w:rsid w:val="00385715"/>
    <w:rsid w:val="003B251A"/>
    <w:rsid w:val="003B5A3D"/>
    <w:rsid w:val="003E09B5"/>
    <w:rsid w:val="003E6C68"/>
    <w:rsid w:val="004026E8"/>
    <w:rsid w:val="00424617"/>
    <w:rsid w:val="00434968"/>
    <w:rsid w:val="004A1F69"/>
    <w:rsid w:val="004B2622"/>
    <w:rsid w:val="00506602"/>
    <w:rsid w:val="00535F8B"/>
    <w:rsid w:val="005428BE"/>
    <w:rsid w:val="00543561"/>
    <w:rsid w:val="0060252C"/>
    <w:rsid w:val="00645B4D"/>
    <w:rsid w:val="00655CED"/>
    <w:rsid w:val="00665E3A"/>
    <w:rsid w:val="006B0C38"/>
    <w:rsid w:val="006B1C86"/>
    <w:rsid w:val="006F203A"/>
    <w:rsid w:val="00707BF8"/>
    <w:rsid w:val="00753F62"/>
    <w:rsid w:val="007905A0"/>
    <w:rsid w:val="007D04CE"/>
    <w:rsid w:val="007E0D69"/>
    <w:rsid w:val="00804073"/>
    <w:rsid w:val="0085620D"/>
    <w:rsid w:val="008650E9"/>
    <w:rsid w:val="00871BF2"/>
    <w:rsid w:val="008954DD"/>
    <w:rsid w:val="009066D7"/>
    <w:rsid w:val="00924801"/>
    <w:rsid w:val="00934023"/>
    <w:rsid w:val="00961BFC"/>
    <w:rsid w:val="00986F0C"/>
    <w:rsid w:val="009D67A6"/>
    <w:rsid w:val="009E48B3"/>
    <w:rsid w:val="00A022E2"/>
    <w:rsid w:val="00A112DD"/>
    <w:rsid w:val="00A46AB7"/>
    <w:rsid w:val="00A974E3"/>
    <w:rsid w:val="00AC0AF2"/>
    <w:rsid w:val="00AC720A"/>
    <w:rsid w:val="00AE24CF"/>
    <w:rsid w:val="00B0173B"/>
    <w:rsid w:val="00B067CC"/>
    <w:rsid w:val="00B26E86"/>
    <w:rsid w:val="00B67FBC"/>
    <w:rsid w:val="00B85F92"/>
    <w:rsid w:val="00B97253"/>
    <w:rsid w:val="00BE0B99"/>
    <w:rsid w:val="00C13E00"/>
    <w:rsid w:val="00C16924"/>
    <w:rsid w:val="00C34CFE"/>
    <w:rsid w:val="00C555C6"/>
    <w:rsid w:val="00C64F7F"/>
    <w:rsid w:val="00C653D8"/>
    <w:rsid w:val="00C87E25"/>
    <w:rsid w:val="00C95DDB"/>
    <w:rsid w:val="00CC4668"/>
    <w:rsid w:val="00CE0DCB"/>
    <w:rsid w:val="00D04E3E"/>
    <w:rsid w:val="00D3369C"/>
    <w:rsid w:val="00D50F46"/>
    <w:rsid w:val="00DF5C56"/>
    <w:rsid w:val="00E64249"/>
    <w:rsid w:val="00E8743F"/>
    <w:rsid w:val="00E945AD"/>
    <w:rsid w:val="00EE3BB1"/>
    <w:rsid w:val="00EE6D9E"/>
    <w:rsid w:val="00F234C5"/>
    <w:rsid w:val="00F50B2B"/>
    <w:rsid w:val="00F71D7D"/>
    <w:rsid w:val="00F954BC"/>
    <w:rsid w:val="00F96ADD"/>
    <w:rsid w:val="00FA535C"/>
    <w:rsid w:val="00FA60C8"/>
    <w:rsid w:val="0F250B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9"/>
    <w:semiHidden/>
    <w:unhideWhenUsed/>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uiPriority w:val="99"/>
    <w:rPr>
      <w:sz w:val="18"/>
      <w:szCs w:val="18"/>
    </w:rPr>
  </w:style>
  <w:style w:type="character" w:customStyle="1" w:styleId="8">
    <w:name w:val="页脚 Char"/>
    <w:basedOn w:val="6"/>
    <w:link w:val="3"/>
    <w:qFormat/>
    <w:uiPriority w:val="99"/>
    <w:rPr>
      <w:sz w:val="18"/>
      <w:szCs w:val="18"/>
    </w:rPr>
  </w:style>
  <w:style w:type="character" w:customStyle="1" w:styleId="9">
    <w:name w:val="批注框文本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B0882C-96D1-4257-8BF9-832B166CC67D}">
  <ds:schemaRefs/>
</ds:datastoreItem>
</file>

<file path=docProps/app.xml><?xml version="1.0" encoding="utf-8"?>
<Properties xmlns="http://schemas.openxmlformats.org/officeDocument/2006/extended-properties" xmlns:vt="http://schemas.openxmlformats.org/officeDocument/2006/docPropsVTypes">
  <Template>Normal</Template>
  <Company>HP Inc.</Company>
  <Pages>7</Pages>
  <Words>2816</Words>
  <Characters>2991</Characters>
  <Lines>22</Lines>
  <Paragraphs>6</Paragraphs>
  <TotalTime>463</TotalTime>
  <ScaleCrop>false</ScaleCrop>
  <LinksUpToDate>false</LinksUpToDate>
  <CharactersWithSpaces>2998</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2023-02-14T02:10:00Z</dcterms:created>
  <dc:creator>Admin</dc:creator>
  <cp:lastModifiedBy>凡峰</cp:lastModifiedBy>
  <cp:lastPrinted>2023-03-01T00:49:00Z</cp:lastPrinted>
  <dcterms:modified xsi:type="dcterms:W3CDTF">2024-09-30T01:39:03Z</dcterms:modified>
  <cp:revision>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6DF26DADB9024097B1B5A3D8405943C9_12</vt:lpwstr>
  </property>
</Properties>
</file>